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ascii="宋体" w:hAnsi="宋体" w:eastAsia="宋体" w:cs="宋体"/>
          <w:kern w:val="0"/>
          <w:sz w:val="32"/>
          <w:szCs w:val="32"/>
        </w:rPr>
        <w:t xml:space="preserve"> </w:t>
      </w:r>
      <w:r>
        <w:rPr>
          <w:rFonts w:hint="eastAsia" w:ascii="宋体" w:hAnsi="宋体" w:eastAsia="宋体" w:cs="宋体"/>
          <w:kern w:val="0"/>
          <w:sz w:val="32"/>
          <w:szCs w:val="32"/>
        </w:rPr>
        <w:t>伊犁州特克斯县中天山旅游景区琼库什台生态旅游基础设施建设项目</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rPr>
        <w:t>特克斯县交通运输局</w:t>
      </w:r>
      <w:r>
        <w:rPr>
          <w:rFonts w:hint="eastAsia" w:ascii="宋体" w:hAnsi="宋体" w:eastAsia="宋体" w:cs="宋体"/>
          <w:kern w:val="0"/>
          <w:sz w:val="32"/>
          <w:szCs w:val="32"/>
        </w:rPr>
        <w:tab/>
      </w:r>
      <w:r>
        <w:rPr>
          <w:rFonts w:hint="eastAsia" w:ascii="宋体" w:hAnsi="宋体" w:eastAsia="宋体" w:cs="宋体"/>
          <w:kern w:val="0"/>
          <w:sz w:val="32"/>
          <w:szCs w:val="32"/>
        </w:rPr>
        <w:tab/>
      </w:r>
      <w:r>
        <w:rPr>
          <w:rFonts w:hint="eastAsia" w:ascii="宋体" w:hAnsi="宋体" w:eastAsia="宋体" w:cs="宋体"/>
          <w:kern w:val="0"/>
          <w:sz w:val="32"/>
          <w:szCs w:val="32"/>
        </w:rPr>
        <w:tab/>
      </w:r>
      <w:r>
        <w:rPr>
          <w:rFonts w:hint="eastAsia" w:ascii="宋体" w:hAnsi="宋体" w:eastAsia="宋体" w:cs="宋体"/>
          <w:kern w:val="0"/>
          <w:sz w:val="32"/>
          <w:szCs w:val="32"/>
        </w:rPr>
        <w:tab/>
      </w:r>
    </w:p>
    <w:p>
      <w:pPr>
        <w:spacing w:line="560" w:lineRule="exact"/>
        <w:ind w:firstLine="321" w:firstLineChars="100"/>
        <w:rPr>
          <w:rFonts w:hint="eastAsia"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rPr>
        <w:t>特克斯县乡村振兴局</w:t>
      </w:r>
      <w:r>
        <w:rPr>
          <w:rFonts w:hint="eastAsia" w:ascii="宋体" w:hAnsi="宋体" w:eastAsia="宋体" w:cs="宋体"/>
          <w:kern w:val="0"/>
          <w:sz w:val="32"/>
          <w:szCs w:val="32"/>
        </w:rPr>
        <w:tab/>
      </w:r>
      <w:r>
        <w:rPr>
          <w:rFonts w:hint="eastAsia" w:ascii="宋体" w:hAnsi="宋体" w:eastAsia="宋体" w:cs="宋体"/>
          <w:kern w:val="0"/>
          <w:sz w:val="32"/>
          <w:szCs w:val="32"/>
        </w:rPr>
        <w:tab/>
      </w:r>
      <w:r>
        <w:rPr>
          <w:rFonts w:hint="eastAsia" w:ascii="宋体" w:hAnsi="宋体" w:eastAsia="宋体" w:cs="宋体"/>
          <w:kern w:val="0"/>
          <w:sz w:val="32"/>
          <w:szCs w:val="32"/>
        </w:rPr>
        <w:tab/>
      </w:r>
      <w:r>
        <w:rPr>
          <w:rFonts w:hint="eastAsia" w:ascii="宋体" w:hAnsi="宋体" w:eastAsia="宋体" w:cs="宋体"/>
          <w:kern w:val="0"/>
          <w:sz w:val="32"/>
          <w:szCs w:val="32"/>
        </w:rPr>
        <w:tab/>
      </w:r>
      <w:r>
        <w:rPr>
          <w:rFonts w:hint="eastAsia" w:ascii="宋体" w:hAnsi="宋体" w:eastAsia="宋体" w:cs="宋体"/>
          <w:kern w:val="0"/>
          <w:sz w:val="32"/>
          <w:szCs w:val="32"/>
        </w:rPr>
        <w:tab/>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库尔曼艾力</w:t>
      </w:r>
      <w:r>
        <w:rPr>
          <w:rFonts w:hint="eastAsia" w:ascii="宋体" w:hAnsi="宋体" w:eastAsia="宋体" w:cs="宋体"/>
          <w:kern w:val="0"/>
          <w:sz w:val="32"/>
          <w:szCs w:val="32"/>
          <w:lang w:val="en-US" w:eastAsia="zh-CN"/>
        </w:rPr>
        <w:t>·巴拉汗</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10</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pageBreakBefore w:val="0"/>
        <w:widowControl w:val="0"/>
        <w:numPr>
          <w:ilvl w:val="0"/>
          <w:numId w:val="1"/>
        </w:numPr>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项目位于特克斯县</w:t>
      </w:r>
      <w:r>
        <w:rPr>
          <w:rFonts w:hint="eastAsia" w:ascii="仿宋_GB2312" w:eastAsia="仿宋_GB2312"/>
          <w:sz w:val="32"/>
          <w:szCs w:val="32"/>
          <w:lang w:eastAsia="zh-CN"/>
        </w:rPr>
        <w:t>中天山景区</w:t>
      </w:r>
      <w:r>
        <w:rPr>
          <w:rFonts w:hint="eastAsia" w:ascii="仿宋_GB2312" w:eastAsia="仿宋_GB2312"/>
          <w:sz w:val="32"/>
          <w:szCs w:val="32"/>
        </w:rPr>
        <w:t>内，是连接</w:t>
      </w:r>
      <w:r>
        <w:rPr>
          <w:rFonts w:hint="eastAsia" w:ascii="仿宋_GB2312" w:eastAsia="仿宋_GB2312"/>
          <w:sz w:val="32"/>
          <w:szCs w:val="32"/>
          <w:lang w:eastAsia="zh-CN"/>
        </w:rPr>
        <w:t>喀拉峻景区、琼库什台景区的</w:t>
      </w:r>
      <w:r>
        <w:rPr>
          <w:rFonts w:hint="eastAsia" w:ascii="仿宋_GB2312" w:eastAsia="仿宋_GB2312"/>
          <w:sz w:val="32"/>
          <w:szCs w:val="32"/>
        </w:rPr>
        <w:t>唯一交通要道。</w:t>
      </w:r>
      <w:r>
        <w:rPr>
          <w:rFonts w:hint="eastAsia" w:ascii="仿宋_GB2312" w:eastAsia="仿宋_GB2312"/>
          <w:sz w:val="32"/>
          <w:szCs w:val="32"/>
          <w:lang w:eastAsia="zh-CN"/>
        </w:rPr>
        <w:t>原有路面大部分路段为砂砾路面</w:t>
      </w:r>
      <w:r>
        <w:rPr>
          <w:rFonts w:hint="eastAsia" w:ascii="仿宋_GB2312" w:eastAsia="仿宋_GB2312"/>
          <w:sz w:val="32"/>
          <w:szCs w:val="32"/>
        </w:rPr>
        <w:t>，随着特克斯县经济和</w:t>
      </w:r>
      <w:r>
        <w:rPr>
          <w:rFonts w:hint="eastAsia" w:ascii="仿宋_GB2312" w:eastAsia="仿宋_GB2312"/>
          <w:sz w:val="32"/>
          <w:szCs w:val="32"/>
          <w:lang w:eastAsia="zh-CN"/>
        </w:rPr>
        <w:t>全域</w:t>
      </w:r>
      <w:r>
        <w:rPr>
          <w:rFonts w:hint="eastAsia" w:ascii="仿宋_GB2312" w:eastAsia="仿宋_GB2312"/>
          <w:sz w:val="32"/>
          <w:szCs w:val="32"/>
        </w:rPr>
        <w:t>旅游业发展，交通量日益增大，给</w:t>
      </w:r>
      <w:r>
        <w:rPr>
          <w:rFonts w:hint="eastAsia" w:ascii="仿宋_GB2312" w:eastAsia="仿宋_GB2312"/>
          <w:sz w:val="32"/>
          <w:szCs w:val="32"/>
          <w:lang w:eastAsia="zh-CN"/>
        </w:rPr>
        <w:t>特克斯县全域旅游推进、中天山旅游景区的旅游开发带来极大不便；另一方面对</w:t>
      </w:r>
      <w:r>
        <w:rPr>
          <w:rFonts w:hint="eastAsia" w:ascii="仿宋_GB2312" w:eastAsia="仿宋_GB2312"/>
          <w:sz w:val="32"/>
          <w:szCs w:val="32"/>
        </w:rPr>
        <w:t>当地农牧民群众的生产、生活、出行造成了极大不便，并阻碍了农村经济、社会的发展；</w:t>
      </w:r>
      <w:r>
        <w:rPr>
          <w:rFonts w:hint="eastAsia" w:ascii="仿宋_GB2312" w:eastAsia="仿宋_GB2312"/>
          <w:sz w:val="32"/>
          <w:szCs w:val="32"/>
          <w:lang w:eastAsia="zh-CN"/>
        </w:rPr>
        <w:t>项目建成后，</w:t>
      </w:r>
      <w:r>
        <w:rPr>
          <w:rFonts w:hint="eastAsia" w:ascii="仿宋_GB2312" w:eastAsia="仿宋_GB2312"/>
          <w:sz w:val="32"/>
          <w:szCs w:val="32"/>
        </w:rPr>
        <w:t>对改造完善区域路网，改善区域路网结构和交通条件，促进区域社会经济的发展都具有积极意义</w:t>
      </w:r>
      <w:r>
        <w:rPr>
          <w:rFonts w:hint="eastAsia" w:ascii="仿宋_GB2312" w:eastAsia="仿宋_GB2312"/>
          <w:sz w:val="32"/>
          <w:szCs w:val="32"/>
          <w:lang w:eastAsia="zh-CN"/>
        </w:rPr>
        <w:t>，</w:t>
      </w:r>
      <w:r>
        <w:rPr>
          <w:rFonts w:hint="eastAsia" w:ascii="仿宋_GB2312" w:eastAsia="仿宋_GB2312"/>
          <w:sz w:val="32"/>
          <w:szCs w:val="32"/>
        </w:rPr>
        <w:t>对改善农牧民群众出行条件，发展草原旅游业，降低运输成本，具有积极作用。本项目的建设将极大的改善本区域的交通状况、提升沿线两侧土地旅游开发的价值。采用合理的建设方案，开发旅游风景区旅游资源，建设旅游、度假为一体的走廊带，增加旅游区景点，将对日后当地旅游业的发展起到举足轻重的作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rPr>
      </w:pPr>
      <w:r>
        <w:rPr>
          <w:rFonts w:hint="eastAsia" w:ascii="仿宋_GB2312"/>
        </w:rPr>
        <w:t>2、主要内容</w:t>
      </w:r>
      <w:r>
        <w:rPr>
          <w:rFonts w:hint="eastAsia"/>
        </w:rPr>
        <w:t>及</w:t>
      </w:r>
      <w:r>
        <w:rPr>
          <w:rFonts w:hint="eastAsia" w:ascii="仿宋_GB2312"/>
        </w:rPr>
        <w:t>实施情况</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ascii="仿宋_GB2312"/>
          <w:color w:val="FF0000"/>
        </w:rPr>
      </w:pPr>
      <w:r>
        <w:rPr>
          <w:rFonts w:hint="eastAsia" w:ascii="仿宋_GB2312"/>
        </w:rPr>
        <w:t>主要内容：</w:t>
      </w:r>
      <w:r>
        <w:rPr>
          <w:rFonts w:hint="eastAsia" w:ascii="仿宋_GB2312"/>
          <w:lang w:eastAsia="zh-CN"/>
        </w:rPr>
        <w:t>项目全长</w:t>
      </w:r>
      <w:r>
        <w:rPr>
          <w:rFonts w:hint="eastAsia" w:ascii="仿宋_GB2312"/>
          <w:lang w:val="en-US" w:eastAsia="zh-CN"/>
        </w:rPr>
        <w:t>77公里，按四级公路标准建设，</w:t>
      </w:r>
      <w:r>
        <w:rPr>
          <w:rFonts w:hint="eastAsia" w:ascii="仿宋_GB2312"/>
        </w:rPr>
        <w:t>建设内容包括路基、涵洞、路面、交通安全设施、停靠点等</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rPr>
        <w:t>实施情况：</w:t>
      </w:r>
      <w:r>
        <w:rPr>
          <w:rFonts w:hint="eastAsia" w:ascii="仿宋_GB2312"/>
          <w:lang w:val="en-US" w:eastAsia="zh-CN"/>
        </w:rPr>
        <w:t>完成旅游基础设施建设项目77公里，按四级公路标准建设，建设内容包括：路基路面及桥涵、交通安全附属工程、停靠站。</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rPr>
      </w:pPr>
      <w:r>
        <w:rPr>
          <w:rFonts w:ascii="仿宋_GB2312"/>
        </w:rPr>
        <w:t>3</w:t>
      </w:r>
      <w:r>
        <w:rPr>
          <w:rFonts w:hint="eastAsia" w:ascii="仿宋_GB2312"/>
        </w:rPr>
        <w:t>、资金投入和使用情况</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资金投入情况：该项目年初预算数 15000万元，全年预算数15000万元，实际总投入 15000 万元，该项目资金已全部落实到位，资金来源为专项债。</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Times New Roman" w:cs="Times New Roman"/>
          <w:lang w:val="en-US" w:eastAsia="zh-CN"/>
        </w:rPr>
      </w:pPr>
      <w:r>
        <w:rPr>
          <w:rFonts w:hint="eastAsia" w:ascii="仿宋_GB2312" w:hAnsi="Times New Roman" w:cs="Times New Roman"/>
          <w:lang w:val="en-US" w:eastAsia="zh-CN"/>
        </w:rPr>
        <w:t>资金使用情况：该项目年初预算数15000万元，全年预算数15000万元，全年执行数 15000万元，预算执行率为100%，用于：新建公路每公里成本195万元/公里</w:t>
      </w:r>
      <w:r>
        <w:rPr>
          <w:rFonts w:hint="eastAsia" w:ascii="仿宋_GB2312" w:cs="Times New Roman"/>
          <w:lang w:val="en-US" w:eastAsia="zh-CN"/>
        </w:rPr>
        <w:t>，共计77公里。</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2" w:name="_Toc68703829"/>
      <w:r>
        <w:rPr>
          <w:rFonts w:hint="eastAsia" w:ascii="仿宋_GB2312" w:eastAsia="仿宋_GB2312"/>
          <w:b w:val="0"/>
          <w:bCs w:val="0"/>
          <w:lang w:eastAsia="zh-CN"/>
        </w:rPr>
        <w:t>（二）</w:t>
      </w:r>
      <w:r>
        <w:rPr>
          <w:rFonts w:hint="eastAsia" w:ascii="仿宋_GB2312" w:eastAsia="仿宋_GB2312"/>
          <w:b w:val="0"/>
          <w:bCs w:val="0"/>
        </w:rPr>
        <w:t>项目绩效目标。</w:t>
      </w:r>
      <w:bookmarkEnd w:id="2"/>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1、总体目标：计划在特克斯县琼库什台及喀拉峻境内修建旅游公路及配套设施，公路全长77公里，建设内容包括路基、涵洞、路面、交通安全设施、停靠点等</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color w:val="auto"/>
          <w:highlight w:val="none"/>
          <w:lang w:val="en-US" w:eastAsia="zh-CN"/>
        </w:rPr>
      </w:pPr>
      <w:r>
        <w:rPr>
          <w:color w:val="auto"/>
        </w:rPr>
        <w:t>2</w:t>
      </w:r>
      <w:r>
        <w:rPr>
          <w:rFonts w:hint="eastAsia"/>
          <w:color w:val="auto"/>
        </w:rPr>
        <w:t>、阶段性目标：</w:t>
      </w:r>
      <w:r>
        <w:rPr>
          <w:rFonts w:hint="eastAsia"/>
          <w:color w:val="auto"/>
          <w:highlight w:val="none"/>
        </w:rPr>
        <w:t>计划在特克斯县琼库什台及喀拉峻境内修建旅游公路及配套设施，公路全长77公里，建设内容包括路基、涵洞、路面、交通安全设施、停靠点</w:t>
      </w:r>
      <w:r>
        <w:rPr>
          <w:rFonts w:hint="eastAsia"/>
          <w:color w:val="auto"/>
          <w:highlight w:val="none"/>
          <w:lang w:val="en-US" w:eastAsia="zh-CN"/>
        </w:rPr>
        <w:t>4处</w:t>
      </w:r>
      <w:r>
        <w:rPr>
          <w:rFonts w:hint="eastAsia"/>
          <w:color w:val="auto"/>
          <w:highlight w:val="none"/>
        </w:rPr>
        <w:t>等</w:t>
      </w:r>
      <w:r>
        <w:rPr>
          <w:rFonts w:hint="eastAsia"/>
          <w:color w:val="auto"/>
          <w:highlight w:val="none"/>
          <w:lang w:eastAsia="zh-CN"/>
        </w:rPr>
        <w:t>，</w:t>
      </w:r>
      <w:r>
        <w:rPr>
          <w:rFonts w:hint="eastAsia"/>
          <w:color w:val="auto"/>
          <w:highlight w:val="none"/>
          <w:lang w:val="en-US" w:eastAsia="zh-CN"/>
        </w:rPr>
        <w:t>开工时间为2021年4月1日</w:t>
      </w:r>
    </w:p>
    <w:p>
      <w:pPr>
        <w:pageBreakBefore w:val="0"/>
        <w:widowControl w:val="0"/>
        <w:kinsoku/>
        <w:wordWrap/>
        <w:overflowPunct/>
        <w:topLinePunct w:val="0"/>
        <w:autoSpaceDE/>
        <w:autoSpaceDN/>
        <w:bidi w:val="0"/>
        <w:adjustRightInd/>
        <w:snapToGrid/>
        <w:spacing w:line="560" w:lineRule="exact"/>
        <w:textAlignment w:val="auto"/>
        <w:rPr>
          <w:rFonts w:hint="default" w:eastAsia="仿宋_GB2312"/>
          <w:color w:val="auto"/>
          <w:highlight w:val="none"/>
          <w:lang w:val="en-US" w:eastAsia="zh-CN"/>
        </w:rPr>
      </w:pPr>
      <w:r>
        <w:rPr>
          <w:rFonts w:hint="eastAsia"/>
          <w:color w:val="auto"/>
          <w:highlight w:val="none"/>
          <w:lang w:val="en-US" w:eastAsia="zh-CN"/>
        </w:rPr>
        <w:t>，完工日期为2021年12月31日。</w:t>
      </w: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仿宋_GB2312" w:cs="Times New Roman"/>
          <w:b w:val="0"/>
          <w:bCs w:val="0"/>
          <w:kern w:val="2"/>
          <w:sz w:val="30"/>
          <w:szCs w:val="24"/>
          <w:lang w:val="en-US" w:eastAsia="zh-CN" w:bidi="ar-SA"/>
        </w:rPr>
      </w:pPr>
      <w:bookmarkStart w:id="4" w:name="_Toc68703831"/>
      <w:r>
        <w:rPr>
          <w:rFonts w:hint="eastAsia" w:ascii="Times New Roman" w:hAnsi="Times New Roman" w:eastAsia="仿宋_GB2312" w:cs="Times New Roman"/>
          <w:b w:val="0"/>
          <w:bCs w:val="0"/>
          <w:kern w:val="2"/>
          <w:sz w:val="30"/>
          <w:szCs w:val="24"/>
          <w:lang w:val="en-US" w:eastAsia="zh-CN" w:bidi="ar-SA"/>
        </w:rPr>
        <w:t>（一）绩效评价目的、对象和范围。</w:t>
      </w:r>
      <w:bookmarkEnd w:id="4"/>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1、绩效评价目的：</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通过绩效评价，客观地评判项目的管理绩效，了解和掌握 伊犁州特克斯县中天山旅游景区琼库什台生态旅游基础设施建设项目资金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2、绩效评价对象：</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 xml:space="preserve"> 伊犁州特克斯县中天山旅游景区琼库什台生态旅游基础设施建设项目</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3、绩效评价范围：</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本次评价从项目决策（包括绩效目标、决策过程）、项目管理（包括项目资金、项目实施）、项目产出（包括项目产出数量、产出质量、产出时效和产出成本）项目效益四个维度进行 伊犁州特克斯县中天山旅游景区琼库什台生态旅游基础设施建设项目评价，评价核心为专项资金的支出完成情况和效果。</w:t>
      </w:r>
    </w:p>
    <w:p>
      <w:pPr>
        <w:pStyle w:val="4"/>
        <w:spacing w:line="360" w:lineRule="auto"/>
        <w:rPr>
          <w:rFonts w:hint="eastAsia" w:ascii="仿宋_GB2312" w:eastAsia="仿宋_GB2312"/>
          <w:b w:val="0"/>
          <w:bCs w:val="0"/>
          <w:lang w:val="en-US" w:eastAsia="zh-CN"/>
        </w:rPr>
      </w:pPr>
      <w:bookmarkStart w:id="5" w:name="_Toc68703832"/>
      <w:r>
        <w:rPr>
          <w:rFonts w:hint="eastAsia" w:ascii="仿宋_GB2312" w:eastAsia="仿宋_GB2312"/>
          <w:b w:val="0"/>
          <w:bCs w:val="0"/>
          <w:lang w:val="en-US" w:eastAsia="zh-CN"/>
        </w:rPr>
        <w:t>（二）绩效评价原则、评价指标体系、评价方法、评价标准等。</w:t>
      </w:r>
      <w:bookmarkEnd w:id="5"/>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1、绩效评价原则:</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（一）科学公正。本次项目支出绩效评价运用科学合理的方法，按照规范的程序，对项目绩效进行客观、公正的反映。</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（二）统筹兼顾。本次项目支出绩效评价由本单位自主实施，即“谁支出、谁自评”。</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（三）激励约束。本次项目支出绩效评价结果与预算安排、政策调整、改进管理实质性挂钩，体现奖优罚劣和激励相容导向，有效要安排、低效要压减、无效要问责。</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bCs/>
          <w:color w:val="FF0000"/>
          <w:sz w:val="32"/>
          <w:szCs w:val="32"/>
        </w:rPr>
      </w:pPr>
      <w:r>
        <w:rPr>
          <w:rFonts w:hint="eastAsia" w:ascii="Times New Roman" w:hAnsi="Times New Roman" w:eastAsia="仿宋_GB2312" w:cs="Times New Roman"/>
          <w:b w:val="0"/>
          <w:bCs w:val="0"/>
          <w:kern w:val="2"/>
          <w:sz w:val="30"/>
          <w:szCs w:val="24"/>
          <w:lang w:val="en-US" w:eastAsia="zh-CN" w:bidi="ar-SA"/>
        </w:rPr>
        <w:t>（四）公开透明。本次项目支出绩效评价结果已依法依规公开在政府网站上，并自觉接受社会监督。</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2、评价指标体系（附表说明）</w:t>
      </w:r>
    </w:p>
    <w:p>
      <w:pPr>
        <w:pStyle w:val="4"/>
        <w:spacing w:before="0" w:after="0" w:line="240" w:lineRule="auto"/>
        <w:jc w:val="center"/>
        <w:rPr>
          <w:rFonts w:hint="eastAsia"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伊犁州特克斯县中天山旅游景区琼库什台生态旅游基础设施建设项目项目支出绩效评价指标体系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决策</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20</w:t>
            </w:r>
            <w:r>
              <w:rPr>
                <w:rFonts w:hint="eastAsia" w:ascii="宋体" w:hAnsi="宋体" w:cs="宋体"/>
                <w:color w:val="000000"/>
                <w:kern w:val="0"/>
                <w:sz w:val="22"/>
                <w:lang w:eastAsia="zh-CN"/>
              </w:rPr>
              <w:t>）</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充分性</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5</w:t>
            </w:r>
            <w:r>
              <w:rPr>
                <w:rFonts w:hint="eastAsia" w:ascii="宋体" w:hAnsi="宋体" w:cs="宋体"/>
                <w:color w:val="000000"/>
                <w:kern w:val="0"/>
                <w:sz w:val="22"/>
                <w:lang w:eastAsia="zh-CN"/>
              </w:rPr>
              <w:t>）</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规范性</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5</w:t>
            </w:r>
            <w:r>
              <w:rPr>
                <w:rFonts w:hint="eastAsia" w:ascii="宋体" w:hAnsi="宋体" w:cs="宋体"/>
                <w:color w:val="000000"/>
                <w:kern w:val="0"/>
                <w:sz w:val="22"/>
                <w:lang w:eastAsia="zh-CN"/>
              </w:rPr>
              <w:t>）</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绩效目标</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5</w:t>
            </w:r>
            <w:r>
              <w:rPr>
                <w:rFonts w:hint="eastAsia" w:ascii="宋体" w:hAnsi="宋体" w:cs="宋体"/>
                <w:color w:val="000000"/>
                <w:kern w:val="0"/>
                <w:sz w:val="22"/>
                <w:lang w:eastAsia="zh-CN"/>
              </w:rPr>
              <w:t>）</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rPr>
              <w:t>合理性</w:t>
            </w:r>
            <w:r>
              <w:rPr>
                <w:rFonts w:hint="eastAsia" w:ascii="宋体" w:hAnsi="宋体" w:cs="宋体"/>
                <w:color w:val="000000"/>
                <w:kern w:val="0"/>
                <w:sz w:val="22"/>
                <w:lang w:val="en-US" w:eastAsia="zh-CN"/>
              </w:rPr>
              <w:t>(2.5)</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2.5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r>
              <w:rPr>
                <w:rFonts w:hint="eastAsia" w:ascii="宋体" w:hAnsi="宋体" w:cs="宋体"/>
                <w:color w:val="000000"/>
                <w:kern w:val="0"/>
                <w:sz w:val="22"/>
                <w:lang w:val="en-US" w:eastAsia="zh-CN"/>
              </w:rPr>
              <w:t>(2.5)</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2.5</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资金投入</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5</w:t>
            </w:r>
            <w:r>
              <w:rPr>
                <w:rFonts w:hint="eastAsia" w:ascii="宋体" w:hAnsi="宋体" w:cs="宋体"/>
                <w:color w:val="000000"/>
                <w:kern w:val="0"/>
                <w:sz w:val="22"/>
                <w:lang w:eastAsia="zh-CN"/>
              </w:rPr>
              <w:t>）</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r>
              <w:rPr>
                <w:rFonts w:hint="eastAsia" w:ascii="宋体" w:hAnsi="宋体" w:cs="宋体"/>
                <w:color w:val="000000"/>
                <w:kern w:val="0"/>
                <w:sz w:val="22"/>
                <w:lang w:val="en-US" w:eastAsia="zh-CN"/>
              </w:rPr>
              <w:t>(2.5)</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2.5</w:t>
            </w:r>
          </w:p>
        </w:tc>
        <w:tc>
          <w:tcPr>
            <w:tcW w:w="874" w:type="dxa"/>
            <w:tcBorders>
              <w:bottom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r>
              <w:rPr>
                <w:rFonts w:hint="eastAsia" w:ascii="宋体" w:hAnsi="宋体" w:cs="宋体"/>
                <w:color w:val="000000"/>
                <w:kern w:val="0"/>
                <w:sz w:val="22"/>
                <w:lang w:val="en-US" w:eastAsia="zh-CN"/>
              </w:rPr>
              <w:t>(2.5)</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2.5</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rPr>
              <w:t>过程</w:t>
            </w:r>
            <w:r>
              <w:rPr>
                <w:rFonts w:hint="eastAsia" w:ascii="宋体" w:hAnsi="宋体" w:cs="宋体"/>
                <w:color w:val="000000"/>
                <w:kern w:val="0"/>
                <w:sz w:val="22"/>
                <w:lang w:val="en-US" w:eastAsia="zh-CN"/>
              </w:rPr>
              <w:t>(20)</w:t>
            </w:r>
          </w:p>
        </w:tc>
        <w:tc>
          <w:tcPr>
            <w:tcW w:w="1478" w:type="dxa"/>
            <w:vMerge w:val="restart"/>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rPr>
              <w:t>资金管理</w:t>
            </w:r>
            <w:r>
              <w:rPr>
                <w:rFonts w:hint="eastAsia" w:ascii="宋体" w:hAnsi="宋体" w:cs="宋体"/>
                <w:color w:val="000000"/>
                <w:kern w:val="0"/>
                <w:sz w:val="22"/>
                <w:lang w:val="en-US" w:eastAsia="zh-CN"/>
              </w:rPr>
              <w:t>(8）</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资金到位率</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预算执行率</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w:t>
            </w:r>
            <w:r>
              <w:rPr>
                <w:rFonts w:hint="eastAsia" w:ascii="宋体" w:hAnsi="宋体" w:cs="宋体"/>
                <w:color w:val="000000"/>
                <w:kern w:val="0"/>
                <w:sz w:val="22"/>
                <w:lang w:eastAsia="zh-CN"/>
              </w:rPr>
              <w:t>）</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资金管理</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w:t>
            </w:r>
            <w:r>
              <w:rPr>
                <w:rFonts w:hint="eastAsia" w:ascii="宋体" w:hAnsi="宋体" w:cs="宋体"/>
                <w:color w:val="000000"/>
                <w:kern w:val="0"/>
                <w:sz w:val="22"/>
                <w:lang w:eastAsia="zh-CN"/>
              </w:rPr>
              <w:t>）</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合规性</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组织实施</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8</w:t>
            </w:r>
            <w:r>
              <w:rPr>
                <w:rFonts w:hint="eastAsia" w:ascii="宋体" w:hAnsi="宋体" w:cs="宋体"/>
                <w:color w:val="000000"/>
                <w:kern w:val="0"/>
                <w:sz w:val="22"/>
                <w:lang w:eastAsia="zh-CN"/>
              </w:rPr>
              <w:t>）</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健全性</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有效性</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产出</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40</w:t>
            </w:r>
            <w:r>
              <w:rPr>
                <w:rFonts w:hint="eastAsia" w:ascii="宋体" w:hAnsi="宋体" w:cs="宋体"/>
                <w:color w:val="000000"/>
                <w:kern w:val="0"/>
                <w:sz w:val="22"/>
                <w:lang w:eastAsia="zh-CN"/>
              </w:rPr>
              <w:t>）</w:t>
            </w:r>
          </w:p>
        </w:tc>
        <w:tc>
          <w:tcPr>
            <w:tcW w:w="1478" w:type="dxa"/>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产出数量</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eastAsia="仿宋_GB2312" w:cs="宋体"/>
                <w:color w:val="000000"/>
                <w:kern w:val="0"/>
                <w:sz w:val="22"/>
                <w:lang w:eastAsia="zh-CN"/>
              </w:rPr>
            </w:pPr>
            <w:r>
              <w:rPr>
                <w:rFonts w:hint="eastAsia" w:ascii="宋体" w:hAnsi="宋体" w:cs="宋体"/>
                <w:color w:val="000000"/>
                <w:kern w:val="0"/>
                <w:sz w:val="22"/>
              </w:rPr>
              <w:t>产出质量</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10</w:t>
            </w:r>
            <w:r>
              <w:rPr>
                <w:rFonts w:hint="eastAsia" w:ascii="宋体" w:hAnsi="宋体" w:cs="宋体"/>
                <w:color w:val="000000"/>
                <w:kern w:val="0"/>
                <w:sz w:val="22"/>
                <w:lang w:eastAsia="zh-CN"/>
              </w:rPr>
              <w:t>）</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20</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20</w:t>
            </w:r>
            <w:r>
              <w:rPr>
                <w:rFonts w:hint="eastAsia" w:ascii="宋体" w:hAnsi="宋体" w:cs="宋体"/>
                <w:color w:val="000000"/>
                <w:kern w:val="0"/>
                <w:sz w:val="22"/>
                <w:lang w:eastAsia="zh-CN"/>
              </w:rPr>
              <w:t>）</w:t>
            </w: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rPr>
              <w:t>实施效益</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15</w:t>
            </w:r>
            <w:r>
              <w:rPr>
                <w:rFonts w:hint="eastAsia" w:ascii="宋体" w:hAnsi="宋体" w:cs="宋体"/>
                <w:color w:val="000000"/>
                <w:kern w:val="0"/>
                <w:sz w:val="22"/>
                <w:lang w:eastAsia="zh-CN"/>
              </w:rPr>
              <w:t>）</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eastAsia="仿宋_GB2312" w:cs="宋体"/>
                <w:color w:val="000000"/>
                <w:kern w:val="0"/>
                <w:sz w:val="22"/>
                <w:lang w:val="en-US" w:eastAsia="zh-CN"/>
              </w:rPr>
            </w:pPr>
            <w:r>
              <w:rPr>
                <w:rFonts w:hint="eastAsia" w:ascii="宋体" w:hAnsi="宋体" w:cs="宋体"/>
                <w:color w:val="000000"/>
                <w:kern w:val="0"/>
                <w:sz w:val="22"/>
              </w:rPr>
              <w:t>满意度</w:t>
            </w:r>
            <w:r>
              <w:rPr>
                <w:rFonts w:hint="eastAsia" w:ascii="宋体" w:hAnsi="宋体" w:cs="宋体"/>
                <w:color w:val="000000"/>
                <w:kern w:val="0"/>
                <w:sz w:val="22"/>
                <w:lang w:eastAsia="zh-CN"/>
              </w:rPr>
              <w:t>（</w:t>
            </w:r>
            <w:r>
              <w:rPr>
                <w:rFonts w:hint="eastAsia" w:ascii="宋体" w:hAnsi="宋体" w:cs="宋体"/>
                <w:color w:val="000000"/>
                <w:kern w:val="0"/>
                <w:sz w:val="22"/>
                <w:lang w:val="en-US" w:eastAsia="zh-CN"/>
              </w:rPr>
              <w:t>5</w:t>
            </w:r>
            <w:r>
              <w:rPr>
                <w:rFonts w:hint="eastAsia" w:ascii="宋体" w:hAnsi="宋体" w:cs="宋体"/>
                <w:color w:val="000000"/>
                <w:kern w:val="0"/>
                <w:sz w:val="22"/>
                <w:lang w:eastAsia="zh-CN"/>
              </w:rPr>
              <w:t>）</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lang w:val="en-US" w:eastAsia="zh-CN"/>
              </w:rPr>
            </w:pPr>
            <w:r>
              <w:rPr>
                <w:rFonts w:hint="eastAsia"/>
                <w:lang w:val="en-US" w:eastAsia="zh-CN"/>
              </w:rPr>
              <w:t>5</w:t>
            </w:r>
          </w:p>
          <w:p>
            <w:pPr>
              <w:pStyle w:val="2"/>
              <w:rPr>
                <w:rFonts w:hint="eastAsia"/>
                <w:lang w:val="en-US" w:eastAsia="zh-CN"/>
              </w:rPr>
            </w:pP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98</w:t>
            </w:r>
          </w:p>
        </w:tc>
      </w:tr>
    </w:tbl>
    <w:p>
      <w:pPr>
        <w:sectPr>
          <w:pgSz w:w="11906" w:h="16838"/>
          <w:pgMar w:top="1928" w:right="1531" w:bottom="1701" w:left="1531" w:header="737" w:footer="851" w:gutter="0"/>
          <w:cols w:space="720" w:num="1"/>
          <w:docGrid w:type="lines" w:linePitch="408" w:charSpace="0"/>
        </w:sectPr>
      </w:pP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3、评价方法</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cs="Times New Roman"/>
          <w:color w:val="auto"/>
          <w:lang w:val="zh-CN" w:eastAsia="zh-CN"/>
        </w:rPr>
      </w:pPr>
      <w:r>
        <w:rPr>
          <w:rFonts w:hint="eastAsia" w:ascii="仿宋_GB2312" w:hAnsi="Times New Roman" w:cs="Times New Roman"/>
          <w:color w:val="auto"/>
          <w:lang w:val="zh-CN"/>
        </w:rPr>
        <w:t>本次项目支出绩效自评采用</w:t>
      </w:r>
      <w:r>
        <w:rPr>
          <w:rFonts w:hint="eastAsia" w:ascii="仿宋_GB2312" w:hAnsi="Times New Roman" w:cs="Times New Roman"/>
          <w:color w:val="auto"/>
          <w:lang w:val="zh-CN" w:eastAsia="zh-CN"/>
        </w:rPr>
        <w:t>成本效益分析法、因素分析法等分析</w:t>
      </w:r>
      <w:r>
        <w:rPr>
          <w:rFonts w:hint="eastAsia" w:ascii="仿宋_GB2312" w:hAnsi="Times New Roman" w:cs="Times New Roman"/>
          <w:color w:val="auto"/>
          <w:lang w:val="zh-CN"/>
        </w:rPr>
        <w:t>方法，原因是：</w:t>
      </w:r>
      <w:r>
        <w:rPr>
          <w:rFonts w:hint="eastAsia" w:ascii="仿宋_GB2312" w:hAnsi="Times New Roman" w:cs="Times New Roman"/>
          <w:color w:val="auto"/>
          <w:lang w:val="zh-CN" w:eastAsia="zh-CN"/>
        </w:rPr>
        <w:t>由于该项目为景区内基础设施建设项目，项目严格按照农村公路管理办法来实施，项目进行前期设计时，严格按照现场实际情况及节约成本来编制相关的施工图及预算，项目支出时，严格合同清单、根据施工进度来支出。</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4、评价标准</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Times New Roman" w:cs="Times New Roman"/>
          <w:color w:val="auto"/>
          <w:highlight w:val="none"/>
          <w:lang w:val="en-US" w:eastAsia="zh-CN"/>
        </w:rPr>
      </w:pPr>
      <w:r>
        <w:rPr>
          <w:rFonts w:hint="eastAsia" w:ascii="仿宋_GB2312" w:hAnsi="Times New Roman" w:cs="Times New Roman"/>
          <w:color w:val="auto"/>
          <w:highlight w:val="none"/>
          <w:lang w:val="zh-CN"/>
        </w:rPr>
        <w:t>本次项目支出绩效自评采用</w:t>
      </w:r>
      <w:r>
        <w:rPr>
          <w:rFonts w:hint="eastAsia" w:ascii="仿宋_GB2312" w:hAnsi="Times New Roman" w:cs="Times New Roman"/>
          <w:color w:val="auto"/>
          <w:highlight w:val="none"/>
          <w:lang w:val="zh-CN" w:eastAsia="zh-CN"/>
        </w:rPr>
        <w:t>了计划标准和行业</w:t>
      </w:r>
      <w:r>
        <w:rPr>
          <w:rFonts w:hint="eastAsia" w:ascii="仿宋_GB2312" w:hAnsi="Times New Roman" w:cs="Times New Roman"/>
          <w:color w:val="auto"/>
          <w:highlight w:val="none"/>
          <w:lang w:val="zh-CN"/>
        </w:rPr>
        <w:t>标准，原因是：</w:t>
      </w:r>
      <w:r>
        <w:rPr>
          <w:rFonts w:hint="eastAsia" w:ascii="仿宋_GB2312" w:hAnsi="Times New Roman" w:cs="Times New Roman"/>
          <w:color w:val="auto"/>
          <w:highlight w:val="none"/>
          <w:lang w:val="zh-CN" w:eastAsia="zh-CN"/>
        </w:rPr>
        <w:t>该项目为基础设施建设项目，项目申报开始均有详细的目标、可行性研究报告、项目实施方案、法律意见书、施工图概算、预算等相关的基础资料。</w:t>
      </w:r>
      <w:r>
        <w:rPr>
          <w:rFonts w:hint="eastAsia" w:ascii="仿宋_GB2312" w:cs="Times New Roman"/>
          <w:color w:val="auto"/>
          <w:highlight w:val="none"/>
          <w:lang w:val="en-US" w:eastAsia="zh-CN"/>
        </w:rPr>
        <w:t>按照三、四级公路标准建设，路面满足PQI、MQI等技术指标，路面宽度及里程满足计划里程，桥涵满足实际使用需求。</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1、前期准备：</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w:t>
      </w:r>
      <w:r>
        <w:rPr>
          <w:color w:val="auto"/>
        </w:rPr>
        <w:t>0</w:t>
      </w:r>
      <w:r>
        <w:rPr>
          <w:rFonts w:hint="eastAsia"/>
          <w:color w:val="auto"/>
          <w:lang w:val="en-US" w:eastAsia="zh-CN"/>
        </w:rPr>
        <w:t>22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color w:val="auto"/>
        </w:rPr>
        <w:t>2</w:t>
      </w:r>
      <w:r>
        <w:rPr>
          <w:rFonts w:hint="eastAsia"/>
          <w:color w:val="auto"/>
        </w:rPr>
        <w:t>、组织实施：</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w:t>
      </w:r>
      <w:r>
        <w:rPr>
          <w:color w:val="auto"/>
        </w:rPr>
        <w:t>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3、分析评价：</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color w:val="auto"/>
        </w:rPr>
      </w:pPr>
      <w:r>
        <w:rPr>
          <w:rFonts w:hint="eastAsia"/>
          <w:color w:val="auto"/>
        </w:rPr>
        <w:t>202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color w:val="auto"/>
          <w:lang w:val="en-US" w:eastAsia="zh-CN"/>
        </w:rPr>
        <w:t>2022年3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本项目严格按照科学公正、统筹兼顾、激励约束、公开透明的绩效评价原则，采用成本效益分析法及因素分析法（评价方法），坚持计划标准和行业标准（绩效评价标准）对本项目的立项、项绩效目标、资金投入、资金管理、组织实施、产出数量、产出质量、产出时效、产出成本、项目效益进行了综合评价。</w:t>
      </w:r>
    </w:p>
    <w:p>
      <w:pPr>
        <w:pageBreakBefore w:val="0"/>
        <w:widowControl w:val="0"/>
        <w:kinsoku/>
        <w:wordWrap/>
        <w:overflowPunct/>
        <w:topLinePunct w:val="0"/>
        <w:autoSpaceDE/>
        <w:autoSpaceDN/>
        <w:bidi w:val="0"/>
        <w:adjustRightInd/>
        <w:snapToGrid/>
        <w:spacing w:line="560" w:lineRule="exact"/>
        <w:ind w:firstLine="602" w:firstLineChars="200"/>
        <w:jc w:val="center"/>
        <w:textAlignment w:val="auto"/>
        <w:rPr>
          <w:rFonts w:hint="eastAsia" w:ascii="Times New Roman" w:hAnsi="Times New Roman" w:eastAsia="仿宋_GB2312" w:cs="Times New Roman"/>
          <w:b/>
          <w:bCs/>
          <w:kern w:val="2"/>
          <w:sz w:val="30"/>
          <w:szCs w:val="24"/>
          <w:lang w:val="en-US" w:eastAsia="zh-CN" w:bidi="ar-SA"/>
        </w:rPr>
      </w:pPr>
      <w:r>
        <w:rPr>
          <w:rFonts w:hint="eastAsia" w:ascii="Times New Roman" w:hAnsi="Times New Roman" w:eastAsia="仿宋_GB2312" w:cs="Times New Roman"/>
          <w:b/>
          <w:bCs/>
          <w:kern w:val="2"/>
          <w:sz w:val="30"/>
          <w:szCs w:val="24"/>
          <w:lang w:val="en-US" w:eastAsia="zh-CN" w:bidi="ar-SA"/>
        </w:rPr>
        <w:t>伊犁州特克斯县中天山旅游景区琼库什台生态旅游基础设施建设项目项目评价得分情况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0"/>
              <w:rPr>
                <w:color w:val="000000"/>
                <w:sz w:val="22"/>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0"/>
              <w:rPr>
                <w:color w:val="000000"/>
                <w:sz w:val="22"/>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0"/>
              <w:rPr>
                <w:color w:val="000000"/>
                <w:sz w:val="22"/>
              </w:rPr>
            </w:pPr>
            <w:r>
              <w:rPr>
                <w:rFonts w:hint="eastAsia" w:ascii="宋体" w:hAnsi="宋体" w:cs="宋体"/>
                <w:bCs/>
                <w:sz w:val="28"/>
                <w:szCs w:val="28"/>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0"/>
              <w:rPr>
                <w:color w:val="000000"/>
                <w:sz w:val="22"/>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0"/>
              <w:rPr>
                <w:b/>
                <w:bCs/>
                <w:color w:val="000000"/>
                <w:sz w:val="22"/>
              </w:rPr>
            </w:pPr>
            <w:r>
              <w:rPr>
                <w:rFonts w:hint="eastAsia" w:ascii="宋体" w:hAnsi="宋体" w:cs="宋体"/>
                <w:bCs/>
                <w:sz w:val="28"/>
                <w:szCs w:val="28"/>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98</w:t>
            </w:r>
          </w:p>
        </w:tc>
      </w:tr>
    </w:tbl>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仿宋_GB2312" w:cs="Times New Roman"/>
          <w:b w:val="0"/>
          <w:bCs w:val="0"/>
          <w:kern w:val="2"/>
          <w:sz w:val="30"/>
          <w:szCs w:val="24"/>
          <w:lang w:val="en-US" w:eastAsia="zh-CN" w:bidi="ar-SA"/>
        </w:rPr>
      </w:pPr>
      <w:bookmarkStart w:id="9" w:name="_Toc68703836"/>
      <w:r>
        <w:rPr>
          <w:rFonts w:hint="eastAsia" w:ascii="Times New Roman" w:hAnsi="Times New Roman" w:eastAsia="仿宋_GB2312" w:cs="Times New Roman"/>
          <w:b w:val="0"/>
          <w:bCs w:val="0"/>
          <w:kern w:val="2"/>
          <w:sz w:val="30"/>
          <w:szCs w:val="24"/>
          <w:lang w:val="en-US" w:eastAsia="zh-CN" w:bidi="ar-SA"/>
        </w:rPr>
        <w:t>（二）评价结论</w:t>
      </w:r>
      <w:bookmarkEnd w:id="9"/>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
          <w:sz w:val="30"/>
          <w:szCs w:val="24"/>
          <w:lang w:val="en-US" w:eastAsia="zh-CN" w:bidi="ar-SA"/>
        </w:rPr>
      </w:pPr>
      <w:r>
        <w:rPr>
          <w:rFonts w:hint="eastAsia" w:ascii="Times New Roman" w:hAnsi="Times New Roman" w:eastAsia="仿宋_GB2312" w:cs="Times New Roman"/>
          <w:b w:val="0"/>
          <w:bCs w:val="0"/>
          <w:kern w:val="2"/>
          <w:sz w:val="30"/>
          <w:szCs w:val="24"/>
          <w:lang w:val="en-US" w:eastAsia="zh-CN" w:bidi="ar-SA"/>
        </w:rPr>
        <w:t>本项目的项目决策、项目过程、项目产出、项目效益大部分达到了预期要求，得分为9</w:t>
      </w:r>
      <w:r>
        <w:rPr>
          <w:rFonts w:hint="eastAsia" w:cs="Times New Roman"/>
          <w:b w:val="0"/>
          <w:bCs w:val="0"/>
          <w:kern w:val="2"/>
          <w:sz w:val="30"/>
          <w:szCs w:val="24"/>
          <w:lang w:val="en-US" w:eastAsia="zh-CN" w:bidi="ar-SA"/>
        </w:rPr>
        <w:t>8</w:t>
      </w:r>
      <w:r>
        <w:rPr>
          <w:rFonts w:hint="eastAsia" w:ascii="Times New Roman" w:hAnsi="Times New Roman" w:eastAsia="仿宋_GB2312" w:cs="Times New Roman"/>
          <w:b w:val="0"/>
          <w:bCs w:val="0"/>
          <w:kern w:val="2"/>
          <w:sz w:val="30"/>
          <w:szCs w:val="24"/>
          <w:lang w:val="en-US" w:eastAsia="zh-CN" w:bidi="ar-SA"/>
        </w:rPr>
        <w:t>分，项目大部分达成年度指标，项目效益指标未达成年度指标的原因是由于项目刚实施完成，对提升特克斯县旅游品牌还未形成有效的提升，项目投入使用1-2年后自然形成有效提升。</w:t>
      </w: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cs="Times New Roman"/>
        </w:rPr>
      </w:pPr>
      <w:r>
        <w:rPr>
          <w:rFonts w:hint="eastAsia" w:ascii="Times New Roman" w:hAnsi="Times New Roman" w:cs="Times New Roman"/>
        </w:rPr>
        <w:t>项目立项依据《</w:t>
      </w:r>
      <w:r>
        <w:rPr>
          <w:rFonts w:hint="eastAsia" w:ascii="Times New Roman" w:hAnsi="Times New Roman" w:cs="Times New Roman"/>
          <w:lang w:val="en-US" w:eastAsia="zh-CN"/>
        </w:rPr>
        <w:t>关于特克斯县中天山旅游景区琼库什台生态旅游基础设施项目可行性研究报告（代项目建议书）的批复</w:t>
      </w:r>
      <w:r>
        <w:rPr>
          <w:rFonts w:hint="eastAsia" w:ascii="Times New Roman" w:hAnsi="Times New Roman" w:cs="Times New Roman"/>
        </w:rPr>
        <w:t>》</w:t>
      </w:r>
      <w:r>
        <w:rPr>
          <w:rFonts w:hint="eastAsia" w:ascii="Times New Roman" w:hAnsi="Times New Roman" w:cs="Times New Roman"/>
          <w:lang w:eastAsia="zh-CN"/>
        </w:rPr>
        <w:t>特发改【</w:t>
      </w:r>
      <w:r>
        <w:rPr>
          <w:rFonts w:hint="eastAsia" w:ascii="Times New Roman" w:hAnsi="Times New Roman" w:cs="Times New Roman"/>
          <w:lang w:val="en-US" w:eastAsia="zh-CN"/>
        </w:rPr>
        <w:t>2020】105号文件批复，</w:t>
      </w:r>
      <w:r>
        <w:rPr>
          <w:rFonts w:hint="eastAsia" w:ascii="Times New Roman" w:hAnsi="Times New Roman" w:cs="Times New Roman"/>
        </w:rPr>
        <w:t>符合国家法律法规、国民经济发展规划和相关政策</w:t>
      </w:r>
      <w:r>
        <w:rPr>
          <w:rFonts w:hint="eastAsia" w:ascii="Times New Roman" w:hAnsi="Times New Roman" w:cs="Times New Roman"/>
          <w:lang w:eastAsia="zh-CN"/>
        </w:rPr>
        <w:t>，</w:t>
      </w:r>
      <w:r>
        <w:rPr>
          <w:rFonts w:hint="eastAsia" w:ascii="Times New Roman" w:hAnsi="Times New Roman" w:cs="Times New Roman"/>
        </w:rPr>
        <w:t>符合行业发展规划和政策要求</w:t>
      </w:r>
      <w:r>
        <w:rPr>
          <w:rFonts w:hint="eastAsia" w:ascii="Times New Roman" w:hAnsi="Times New Roman" w:cs="Times New Roman"/>
          <w:lang w:eastAsia="zh-CN"/>
        </w:rPr>
        <w:t>、</w:t>
      </w:r>
      <w:r>
        <w:rPr>
          <w:rFonts w:hint="eastAsia" w:ascii="Times New Roman" w:hAnsi="Times New Roman" w:cs="Times New Roman"/>
        </w:rPr>
        <w:t>与部门职责范围相符，属于公共财政支持范围，符合中央、地方事权支出责任划分原则；与相关部门同类项目或部门内部相关项目</w:t>
      </w:r>
      <w:r>
        <w:rPr>
          <w:rFonts w:hint="eastAsia" w:ascii="Times New Roman" w:hAnsi="Times New Roman" w:cs="Times New Roman"/>
          <w:lang w:eastAsia="zh-CN"/>
        </w:rPr>
        <w:t>不</w:t>
      </w:r>
      <w:r>
        <w:rPr>
          <w:rFonts w:hint="eastAsia" w:ascii="Times New Roman" w:hAnsi="Times New Roman" w:cs="Times New Roman"/>
        </w:rPr>
        <w:t>重复。</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2、立项程序规范性</w:t>
      </w:r>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Times New Roman" w:hAnsi="Times New Roman" w:cs="Times New Roman"/>
          <w:lang w:eastAsia="zh-CN"/>
        </w:rPr>
      </w:pPr>
      <w:r>
        <w:rPr>
          <w:rFonts w:hint="eastAsia" w:ascii="Times New Roman" w:hAnsi="Times New Roman" w:cs="Times New Roman"/>
          <w:lang w:eastAsia="zh-CN"/>
        </w:rPr>
        <w:t>对于“项目立项”，该项目投入将改善沿线农牧民群众快速便捷安全出行，提升了我县喀拉峻旅游景区及琼库什台旅游景区基础设施，对经济发展、民生改善、全域旅游都有极大的推动作用。项目年度计划方案完整，立项清晰，项目资金申请文件齐全，申报材料审批完整。项目的立项符合规划。事前已经过必要的可行性研究、专家论证、风险评估、绩效评估、集体决策。</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3、绩效目标合理性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cs="Times New Roman"/>
        </w:rPr>
      </w:pPr>
      <w:r>
        <w:rPr>
          <w:rFonts w:hint="eastAsia" w:ascii="Times New Roman" w:hAnsi="Times New Roman" w:cs="Times New Roman"/>
        </w:rPr>
        <w:t>伊犁州特克斯县中天山旅游景区琼库什台生态旅游基础设施建设项目设立了项目绩效目标，与特克斯县琼库什台及喀拉峻境内修建旅游公路及配套设施，公路全长77公里，建设内容包括路基、涵洞、路面、交通安全设施具有相关性，项目的预期产出效益和效果也均能符合正常的业绩水平，并且与预算确定的项目投资额或资金量相匹配。</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4、绩效指标明确性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cs="Times New Roman"/>
        </w:rPr>
      </w:pPr>
      <w:bookmarkStart w:id="12" w:name="_Hlk68699917"/>
      <w:r>
        <w:rPr>
          <w:rFonts w:hint="eastAsia" w:ascii="Times New Roman" w:hAnsi="Times New Roman" w:cs="Times New Roman"/>
        </w:rPr>
        <w:t>伊犁州特克斯县中天山旅游景区琼库什台生态旅游基础设施建设项目将项目绩效目标细化分解为具体的绩效指标，一级指标共</w:t>
      </w:r>
      <w:r>
        <w:rPr>
          <w:rFonts w:hint="eastAsia" w:ascii="Times New Roman" w:hAnsi="Times New Roman" w:cs="Times New Roman"/>
          <w:lang w:val="en-US" w:eastAsia="zh-CN"/>
        </w:rPr>
        <w:t>3</w:t>
      </w:r>
      <w:r>
        <w:rPr>
          <w:rFonts w:hint="eastAsia" w:ascii="Times New Roman" w:hAnsi="Times New Roman" w:cs="Times New Roman"/>
        </w:rPr>
        <w:t>条，二级指标共</w:t>
      </w:r>
      <w:r>
        <w:rPr>
          <w:rFonts w:hint="eastAsia" w:ascii="Times New Roman" w:hAnsi="Times New Roman" w:cs="Times New Roman"/>
          <w:lang w:val="en-US" w:eastAsia="zh-CN"/>
        </w:rPr>
        <w:t>8</w:t>
      </w:r>
      <w:r>
        <w:rPr>
          <w:rFonts w:hint="eastAsia" w:ascii="Times New Roman" w:hAnsi="Times New Roman" w:cs="Times New Roman"/>
        </w:rPr>
        <w:t>条，三级指标共</w:t>
      </w:r>
      <w:r>
        <w:rPr>
          <w:rFonts w:hint="eastAsia" w:cs="Times New Roman"/>
          <w:lang w:val="en-US" w:eastAsia="zh-CN"/>
        </w:rPr>
        <w:t>13</w:t>
      </w:r>
      <w:r>
        <w:rPr>
          <w:rFonts w:hint="eastAsia" w:ascii="Times New Roman" w:hAnsi="Times New Roman" w:cs="Times New Roman"/>
        </w:rPr>
        <w:t>条，其中量化指标条数共</w:t>
      </w:r>
      <w:r>
        <w:rPr>
          <w:rFonts w:hint="eastAsia" w:cs="Times New Roman"/>
          <w:lang w:val="en-US" w:eastAsia="zh-CN"/>
        </w:rPr>
        <w:t>12</w:t>
      </w:r>
      <w:r>
        <w:rPr>
          <w:rFonts w:hint="eastAsia" w:ascii="Times New Roman" w:hAnsi="Times New Roman" w:cs="Times New Roman"/>
        </w:rPr>
        <w:t>条，所有绩效指标均通过清晰、可衡量的指标值予以体现，并且做到了与项目目标任务数或计划数相对应。</w:t>
      </w:r>
      <w:bookmarkEnd w:id="12"/>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5、预算编制科学性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rPr>
        <w:t>预算编制经过科学论证；预算内容与项目内容匹配；预算额度测算依据充分，按照标准编制；预算确定的项目投资额或资金量与工作任务相匹配。</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rPr>
        <w:t>6、资金分配合理性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eastAsia="仿宋_GB2312"/>
          <w:lang w:eastAsia="zh-CN"/>
        </w:rPr>
      </w:pPr>
      <w:r>
        <w:rPr>
          <w:rFonts w:hint="eastAsia"/>
        </w:rPr>
        <w:t>预算资金分配依据充分；资金分配额度合理，与项目单位或地方实际相适应</w:t>
      </w:r>
      <w:r>
        <w:rPr>
          <w:rFonts w:hint="eastAsia"/>
          <w:lang w:eastAsia="zh-CN"/>
        </w:rPr>
        <w:t>。</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1、资金到位率：</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rPr>
        <w:t>预算资金</w:t>
      </w:r>
      <w:r>
        <w:rPr>
          <w:rFonts w:hint="eastAsia"/>
          <w:lang w:val="en-US" w:eastAsia="zh-CN"/>
        </w:rPr>
        <w:t>15000</w:t>
      </w:r>
      <w:r>
        <w:rPr>
          <w:rFonts w:hint="eastAsia"/>
        </w:rPr>
        <w:t xml:space="preserve"> 万元，实际到位资金 </w:t>
      </w:r>
      <w:r>
        <w:rPr>
          <w:rFonts w:hint="eastAsia"/>
          <w:lang w:val="en-US" w:eastAsia="zh-CN"/>
        </w:rPr>
        <w:t>15000</w:t>
      </w:r>
      <w:r>
        <w:rPr>
          <w:rFonts w:hint="eastAsia"/>
        </w:rPr>
        <w:t>万元，资金到位率</w:t>
      </w:r>
      <w:r>
        <w:rPr>
          <w:rFonts w:hint="eastAsia"/>
          <w:lang w:val="en-US" w:eastAsia="zh-CN"/>
        </w:rPr>
        <w:t>100</w:t>
      </w:r>
      <w:r>
        <w:rPr>
          <w:rFonts w:hint="eastAsia"/>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2、预算执行率</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rPr>
        <w:t xml:space="preserve">年初预算数 </w:t>
      </w:r>
      <w:r>
        <w:rPr>
          <w:rFonts w:hint="eastAsia"/>
          <w:lang w:val="en-US" w:eastAsia="zh-CN"/>
        </w:rPr>
        <w:t>15000</w:t>
      </w:r>
      <w:r>
        <w:rPr>
          <w:rFonts w:hint="eastAsia"/>
        </w:rPr>
        <w:t xml:space="preserve"> 万元，全年预算数</w:t>
      </w:r>
      <w:r>
        <w:rPr>
          <w:rFonts w:hint="eastAsia"/>
          <w:lang w:val="en-US" w:eastAsia="zh-CN"/>
        </w:rPr>
        <w:t>15000</w:t>
      </w:r>
      <w:r>
        <w:rPr>
          <w:rFonts w:hint="eastAsia"/>
        </w:rPr>
        <w:t xml:space="preserve"> 万元，全年执行数     </w:t>
      </w:r>
      <w:r>
        <w:rPr>
          <w:rFonts w:hint="eastAsia"/>
          <w:lang w:val="en-US" w:eastAsia="zh-CN"/>
        </w:rPr>
        <w:t>15000</w:t>
      </w:r>
      <w:r>
        <w:rPr>
          <w:rFonts w:hint="eastAsia"/>
        </w:rPr>
        <w:t>万元，预算执行率为</w:t>
      </w:r>
      <w:r>
        <w:rPr>
          <w:rFonts w:hint="eastAsia"/>
          <w:lang w:val="en-US" w:eastAsia="zh-CN"/>
        </w:rPr>
        <w:t>100</w:t>
      </w:r>
      <w:r>
        <w:rPr>
          <w:rFonts w:hint="eastAsia"/>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3、资金使用合规性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lang w:eastAsia="zh-CN"/>
        </w:rPr>
        <w:t>本项目资金使用</w:t>
      </w:r>
      <w:r>
        <w:rPr>
          <w:rFonts w:hint="eastAsia"/>
        </w:rPr>
        <w:t>符合国家财经法规和财务管理制度以及有关专项资金管理办法的规定；资金的拨付有完整的审批程序和手续；符合项目预算批复或合同规定的用途；</w:t>
      </w:r>
      <w:r>
        <w:rPr>
          <w:rFonts w:hint="eastAsia"/>
          <w:lang w:eastAsia="zh-CN"/>
        </w:rPr>
        <w:t>不</w:t>
      </w:r>
      <w:r>
        <w:rPr>
          <w:rFonts w:hint="eastAsia"/>
        </w:rPr>
        <w:t>存在截留、挤占、挪用、虚列支出等情况。</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4、管理制度健全性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rPr>
        <w:t>已制定或具有相应的财务和业务管理制度；财务和业务管理制度合法、合规、完整。</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5、制度执行有效性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rPr>
      </w:pPr>
      <w:r>
        <w:rPr>
          <w:rFonts w:hint="eastAsia"/>
        </w:rPr>
        <w:t>遵守相关法律法规和相关管理规定；项目调整及支出调整手续完备；项目合同书、验收报告、技术鉴定等资料齐全并及时归档；项目实施的人员条件、场地设备、信息支撑等落实到位。</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pageBreakBefore w:val="0"/>
        <w:widowControl w:val="0"/>
        <w:numPr>
          <w:ilvl w:val="0"/>
          <w:numId w:val="2"/>
        </w:numPr>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 xml:space="preserve">数量指标：指标1：新建改建公路里程 ，指标值： </w:t>
      </w:r>
      <w:r>
        <w:rPr>
          <w:color w:val="auto"/>
        </w:rPr>
        <w:t xml:space="preserve"> </w:t>
      </w:r>
      <w:r>
        <w:rPr>
          <w:rFonts w:hint="eastAsia"/>
          <w:color w:val="auto"/>
        </w:rPr>
        <w:t>≥77公里</w:t>
      </w:r>
      <w:r>
        <w:rPr>
          <w:color w:val="auto"/>
        </w:rPr>
        <w:t xml:space="preserve"> </w:t>
      </w:r>
      <w:r>
        <w:rPr>
          <w:rFonts w:hint="eastAsia"/>
          <w:color w:val="auto"/>
        </w:rPr>
        <w:t>，实际完成值</w:t>
      </w:r>
      <w:r>
        <w:rPr>
          <w:rFonts w:hint="eastAsia"/>
          <w:color w:val="auto"/>
          <w:lang w:val="en-US" w:eastAsia="zh-CN"/>
        </w:rPr>
        <w:t>77</w:t>
      </w:r>
      <w:r>
        <w:rPr>
          <w:rFonts w:hint="eastAsia"/>
          <w:color w:val="auto"/>
        </w:rPr>
        <w:t xml:space="preserve"> </w:t>
      </w:r>
      <w:r>
        <w:rPr>
          <w:rFonts w:hint="eastAsia"/>
          <w:color w:val="auto"/>
          <w:lang w:eastAsia="zh-CN"/>
        </w:rPr>
        <w:t>公里</w:t>
      </w:r>
      <w:r>
        <w:rPr>
          <w:color w:val="auto"/>
        </w:rPr>
        <w:t xml:space="preserve"> </w:t>
      </w:r>
      <w:r>
        <w:rPr>
          <w:rFonts w:hint="eastAsia"/>
          <w:color w:val="auto"/>
        </w:rPr>
        <w:t>，指标完成率</w:t>
      </w:r>
      <w:r>
        <w:rPr>
          <w:rFonts w:hint="eastAsia"/>
          <w:color w:val="auto"/>
          <w:lang w:val="en-US" w:eastAsia="zh-CN"/>
        </w:rPr>
        <w:t>100</w:t>
      </w:r>
      <w:r>
        <w:rPr>
          <w:color w:val="auto"/>
        </w:rPr>
        <w:t xml:space="preserve"> </w:t>
      </w:r>
      <w:r>
        <w:rPr>
          <w:rFonts w:hint="eastAsia"/>
          <w:color w:val="auto"/>
        </w:rPr>
        <w:t>%；指标2：新建停靠点，指标值：≥4个，实际完成值4个，指标完成率</w:t>
      </w:r>
      <w:r>
        <w:rPr>
          <w:rFonts w:hint="eastAsia"/>
          <w:color w:val="auto"/>
          <w:lang w:val="en-US" w:eastAsia="zh-CN"/>
        </w:rPr>
        <w:t>100</w:t>
      </w:r>
      <w:r>
        <w:rPr>
          <w:rFonts w:hint="eastAsia"/>
          <w:color w:val="auto"/>
        </w:rPr>
        <w:t>%</w:t>
      </w:r>
      <w:r>
        <w:rPr>
          <w:rFonts w:hint="eastAsia"/>
          <w:color w:val="auto"/>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2、质量指标：指标1：项目</w:t>
      </w:r>
      <w:r>
        <w:rPr>
          <w:rFonts w:hint="eastAsia"/>
          <w:color w:val="auto"/>
          <w:lang w:val="en-US" w:eastAsia="zh-CN"/>
        </w:rPr>
        <w:t>竣工</w:t>
      </w:r>
      <w:r>
        <w:rPr>
          <w:rFonts w:hint="eastAsia"/>
          <w:color w:val="auto"/>
        </w:rPr>
        <w:t>验收合格率，指标值：</w:t>
      </w:r>
      <w:r>
        <w:rPr>
          <w:rFonts w:hint="eastAsia"/>
          <w:color w:val="auto"/>
          <w:lang w:val="en-US" w:eastAsia="zh-CN"/>
        </w:rPr>
        <w:t>=</w:t>
      </w:r>
      <w:r>
        <w:rPr>
          <w:rFonts w:hint="eastAsia"/>
          <w:color w:val="auto"/>
        </w:rPr>
        <w:t xml:space="preserve">100% ，实际完成值 100% ，指标完成率 </w:t>
      </w:r>
      <w:r>
        <w:rPr>
          <w:rFonts w:hint="eastAsia"/>
          <w:color w:val="auto"/>
          <w:lang w:val="en-US" w:eastAsia="zh-CN"/>
        </w:rPr>
        <w:t>100</w:t>
      </w:r>
      <w:r>
        <w:rPr>
          <w:rFonts w:hint="eastAsia"/>
          <w:color w:val="auto"/>
        </w:rPr>
        <w:t>%；</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3、</w:t>
      </w:r>
      <w:r>
        <w:rPr>
          <w:rFonts w:hint="eastAsia"/>
          <w:color w:val="auto"/>
          <w:lang w:eastAsia="zh-CN"/>
        </w:rPr>
        <w:t>成本</w:t>
      </w:r>
      <w:r>
        <w:rPr>
          <w:rFonts w:hint="eastAsia"/>
          <w:color w:val="auto"/>
        </w:rPr>
        <w:t>指标：指标1：新建公路每公里成本</w:t>
      </w:r>
      <w:r>
        <w:rPr>
          <w:rFonts w:hint="eastAsia"/>
          <w:color w:val="auto"/>
          <w:lang w:eastAsia="zh-CN"/>
        </w:rPr>
        <w:t>，</w:t>
      </w:r>
      <w:r>
        <w:rPr>
          <w:rFonts w:hint="eastAsia"/>
          <w:color w:val="auto"/>
        </w:rPr>
        <w:t xml:space="preserve">指标值：≤195万元/公里，实际完成值 </w:t>
      </w:r>
      <w:r>
        <w:rPr>
          <w:rFonts w:hint="eastAsia"/>
          <w:color w:val="auto"/>
        </w:rPr>
        <w:tab/>
      </w:r>
      <w:r>
        <w:rPr>
          <w:rFonts w:hint="eastAsia"/>
          <w:color w:val="auto"/>
        </w:rPr>
        <w:t>195万元/公里，指标完成率</w:t>
      </w:r>
      <w:r>
        <w:rPr>
          <w:rFonts w:hint="eastAsia"/>
          <w:color w:val="auto"/>
          <w:lang w:val="en-US" w:eastAsia="zh-CN"/>
        </w:rPr>
        <w:t>100</w:t>
      </w:r>
      <w:r>
        <w:rPr>
          <w:rFonts w:hint="eastAsia"/>
          <w:color w:val="auto"/>
        </w:rPr>
        <w:t>%；</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eastAsia="仿宋_GB2312"/>
          <w:lang w:eastAsia="zh-CN"/>
        </w:rPr>
      </w:pPr>
      <w:r>
        <w:rPr>
          <w:rFonts w:hint="eastAsia"/>
          <w:color w:val="auto"/>
        </w:rPr>
        <w:t>4、</w:t>
      </w:r>
      <w:r>
        <w:rPr>
          <w:rFonts w:hint="eastAsia"/>
          <w:color w:val="auto"/>
          <w:lang w:eastAsia="zh-CN"/>
        </w:rPr>
        <w:t>时效</w:t>
      </w:r>
      <w:r>
        <w:rPr>
          <w:rFonts w:hint="eastAsia"/>
          <w:color w:val="auto"/>
        </w:rPr>
        <w:t>指标</w:t>
      </w:r>
      <w:r>
        <w:rPr>
          <w:rFonts w:hint="eastAsia"/>
          <w:color w:val="auto"/>
          <w:lang w:val="en-US" w:eastAsia="zh-CN"/>
        </w:rPr>
        <w:t>：</w:t>
      </w:r>
      <w:r>
        <w:rPr>
          <w:rFonts w:hint="eastAsia"/>
          <w:color w:val="auto"/>
        </w:rPr>
        <w:t>指标1：项目开始时间</w:t>
      </w:r>
      <w:r>
        <w:rPr>
          <w:rFonts w:hint="eastAsia"/>
          <w:color w:val="auto"/>
          <w:lang w:eastAsia="zh-CN"/>
        </w:rPr>
        <w:t>，</w:t>
      </w:r>
      <w:r>
        <w:rPr>
          <w:rFonts w:hint="eastAsia"/>
          <w:color w:val="auto"/>
        </w:rPr>
        <w:t>指标值：2021年4月</w:t>
      </w:r>
      <w:r>
        <w:rPr>
          <w:rFonts w:hint="eastAsia"/>
          <w:color w:val="auto"/>
          <w:lang w:val="en-US" w:eastAsia="zh-CN"/>
        </w:rPr>
        <w:t>1日</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rPr>
        <w:t>2021年4月</w:t>
      </w:r>
      <w:r>
        <w:rPr>
          <w:rFonts w:hint="eastAsia"/>
          <w:color w:val="auto"/>
          <w:lang w:val="en-US" w:eastAsia="zh-CN"/>
        </w:rPr>
        <w:t>1日，</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2</w:t>
      </w:r>
      <w:r>
        <w:rPr>
          <w:rFonts w:hint="eastAsia"/>
          <w:color w:val="auto"/>
        </w:rPr>
        <w:t>：项目完成时间</w:t>
      </w:r>
      <w:r>
        <w:rPr>
          <w:rFonts w:hint="eastAsia"/>
          <w:color w:val="auto"/>
          <w:lang w:eastAsia="zh-CN"/>
        </w:rPr>
        <w:t>，</w:t>
      </w:r>
      <w:r>
        <w:rPr>
          <w:rFonts w:hint="eastAsia"/>
          <w:color w:val="auto"/>
        </w:rPr>
        <w:t>指标值：2021年12月</w:t>
      </w:r>
      <w:r>
        <w:rPr>
          <w:rFonts w:hint="eastAsia"/>
          <w:color w:val="auto"/>
          <w:lang w:val="en-US" w:eastAsia="zh-CN"/>
        </w:rPr>
        <w:t>31日</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rPr>
        <w:t>2021年12月</w:t>
      </w:r>
      <w:r>
        <w:rPr>
          <w:rFonts w:hint="eastAsia"/>
          <w:color w:val="auto"/>
          <w:lang w:val="en-US" w:eastAsia="zh-CN"/>
        </w:rPr>
        <w:t>31日</w:t>
      </w:r>
      <w:r>
        <w:rPr>
          <w:rFonts w:hint="eastAsia"/>
          <w:color w:val="auto"/>
          <w:lang w:eastAsia="zh-CN"/>
        </w:rPr>
        <w:t>，</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：项目完成及时率</w:t>
      </w:r>
      <w:r>
        <w:rPr>
          <w:rFonts w:hint="eastAsia"/>
          <w:color w:val="auto"/>
          <w:lang w:eastAsia="zh-CN"/>
        </w:rPr>
        <w:t>，</w:t>
      </w:r>
      <w:r>
        <w:rPr>
          <w:rFonts w:hint="eastAsia"/>
          <w:color w:val="auto"/>
        </w:rPr>
        <w:t>指标值： =100%</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rPr>
        <w:t>100%</w:t>
      </w:r>
      <w:r>
        <w:rPr>
          <w:rFonts w:hint="eastAsia"/>
          <w:color w:val="auto"/>
          <w:lang w:eastAsia="zh-CN"/>
        </w:rPr>
        <w:t>，</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eastAsia="仿宋_GB2312"/>
          <w:lang w:eastAsia="zh-CN"/>
        </w:rPr>
      </w:pPr>
    </w:p>
    <w:p>
      <w:pPr>
        <w:pStyle w:val="4"/>
        <w:pageBreakBefore w:val="0"/>
        <w:widowControl w:val="0"/>
        <w:kinsoku/>
        <w:wordWrap/>
        <w:overflowPunct/>
        <w:topLinePunct w:val="0"/>
        <w:autoSpaceDE/>
        <w:autoSpaceDN/>
        <w:bidi w:val="0"/>
        <w:adjustRightInd/>
        <w:snapToGrid/>
        <w:spacing w:before="0" w:after="0" w:line="560" w:lineRule="exact"/>
        <w:textAlignment w:val="auto"/>
        <w:rPr>
          <w:rFonts w:ascii="仿宋_GB2312" w:eastAsia="仿宋_GB2312"/>
          <w:b w:val="0"/>
          <w:bCs w:val="0"/>
        </w:rPr>
      </w:pPr>
      <w:bookmarkStart w:id="15" w:name="_Toc68703841"/>
      <w:r>
        <w:rPr>
          <w:rFonts w:hint="eastAsia" w:ascii="仿宋_GB2312" w:eastAsia="仿宋_GB2312"/>
          <w:b w:val="0"/>
          <w:bCs w:val="0"/>
        </w:rPr>
        <w:t>（四）项目效益情况。</w:t>
      </w:r>
      <w:bookmarkEnd w:id="15"/>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color w:val="auto"/>
          <w:lang w:val="en-US" w:eastAsia="zh-CN"/>
        </w:rPr>
      </w:pPr>
      <w:r>
        <w:rPr>
          <w:rFonts w:hint="eastAsia"/>
          <w:color w:val="auto"/>
          <w:lang w:val="en-US" w:eastAsia="zh-CN"/>
        </w:rPr>
        <w:t>1</w:t>
      </w:r>
      <w:r>
        <w:rPr>
          <w:rFonts w:hint="eastAsia"/>
          <w:color w:val="auto"/>
        </w:rPr>
        <w:t>、社会效益指标：</w:t>
      </w:r>
      <w:r>
        <w:rPr>
          <w:rFonts w:hint="eastAsia"/>
          <w:color w:val="auto"/>
          <w:lang w:eastAsia="zh-CN"/>
        </w:rPr>
        <w:t>指标</w:t>
      </w:r>
      <w:r>
        <w:rPr>
          <w:rFonts w:hint="eastAsia"/>
          <w:color w:val="auto"/>
          <w:lang w:val="en-US" w:eastAsia="zh-CN"/>
        </w:rPr>
        <w:t>1：</w:t>
      </w:r>
      <w:r>
        <w:rPr>
          <w:rFonts w:hint="eastAsia"/>
          <w:color w:val="auto"/>
        </w:rPr>
        <w:t>提升特克斯县旅游品牌</w:t>
      </w:r>
      <w:r>
        <w:rPr>
          <w:rFonts w:hint="eastAsia"/>
          <w:color w:val="auto"/>
        </w:rPr>
        <w:tab/>
      </w:r>
      <w:r>
        <w:rPr>
          <w:rFonts w:hint="eastAsia"/>
          <w:color w:val="auto"/>
          <w:lang w:eastAsia="zh-CN"/>
        </w:rPr>
        <w:t>，指标值：</w:t>
      </w:r>
      <w:r>
        <w:rPr>
          <w:rFonts w:hint="eastAsia"/>
          <w:color w:val="auto"/>
        </w:rPr>
        <w:t>有效提升</w:t>
      </w:r>
      <w:r>
        <w:rPr>
          <w:rFonts w:hint="eastAsia"/>
          <w:color w:val="auto"/>
        </w:rPr>
        <w:tab/>
      </w:r>
      <w:r>
        <w:rPr>
          <w:rFonts w:hint="eastAsia"/>
          <w:color w:val="auto"/>
          <w:lang w:eastAsia="zh-CN"/>
        </w:rPr>
        <w:t>；实际完成值：</w:t>
      </w:r>
      <w:r>
        <w:rPr>
          <w:rFonts w:hint="eastAsia"/>
          <w:color w:val="auto"/>
        </w:rPr>
        <w:t>有效提升</w:t>
      </w:r>
      <w:r>
        <w:rPr>
          <w:rFonts w:hint="eastAsia"/>
          <w:color w:val="auto"/>
          <w:lang w:eastAsia="zh-CN"/>
        </w:rPr>
        <w:t>；指标完成率</w:t>
      </w:r>
      <w:r>
        <w:rPr>
          <w:rFonts w:hint="eastAsia"/>
          <w:color w:val="auto"/>
          <w:lang w:val="en-US" w:eastAsia="zh-CN"/>
        </w:rPr>
        <w:t>100%；</w:t>
      </w:r>
      <w:r>
        <w:rPr>
          <w:rFonts w:hint="eastAsia"/>
          <w:color w:val="auto"/>
          <w:lang w:eastAsia="zh-CN"/>
        </w:rPr>
        <w:t>指标</w:t>
      </w:r>
      <w:r>
        <w:rPr>
          <w:rFonts w:hint="eastAsia"/>
          <w:color w:val="auto"/>
          <w:lang w:val="en-US" w:eastAsia="zh-CN"/>
        </w:rPr>
        <w:t>2：</w:t>
      </w:r>
      <w:r>
        <w:rPr>
          <w:rFonts w:hint="eastAsia"/>
          <w:color w:val="auto"/>
        </w:rPr>
        <w:t>提供就业岗位</w:t>
      </w:r>
      <w:r>
        <w:rPr>
          <w:rFonts w:hint="eastAsia"/>
          <w:color w:val="auto"/>
          <w:lang w:eastAsia="zh-CN"/>
        </w:rPr>
        <w:t>，指标值：</w:t>
      </w:r>
      <w:r>
        <w:rPr>
          <w:rFonts w:hint="eastAsia"/>
          <w:color w:val="auto"/>
        </w:rPr>
        <w:t>≥30个</w:t>
      </w:r>
      <w:r>
        <w:rPr>
          <w:rFonts w:hint="eastAsia"/>
          <w:color w:val="auto"/>
          <w:lang w:eastAsia="zh-CN"/>
        </w:rPr>
        <w:t>；实际完成值：</w:t>
      </w:r>
      <w:r>
        <w:rPr>
          <w:rFonts w:hint="eastAsia"/>
          <w:color w:val="auto"/>
        </w:rPr>
        <w:t>30个</w:t>
      </w:r>
      <w:r>
        <w:rPr>
          <w:rFonts w:hint="eastAsia"/>
          <w:color w:val="auto"/>
          <w:lang w:eastAsia="zh-CN"/>
        </w:rPr>
        <w:t>；指标完成率</w:t>
      </w:r>
      <w:r>
        <w:rPr>
          <w:rFonts w:hint="eastAsia"/>
          <w:color w:val="auto"/>
          <w:lang w:val="en-US" w:eastAsia="zh-CN"/>
        </w:rPr>
        <w:t>100%；</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color w:val="auto"/>
          <w:lang w:val="en-US" w:eastAsia="zh-CN"/>
        </w:rPr>
      </w:pPr>
      <w:r>
        <w:rPr>
          <w:rFonts w:hint="eastAsia"/>
          <w:color w:val="auto"/>
          <w:lang w:val="en-US" w:eastAsia="zh-CN"/>
        </w:rPr>
        <w:t>2</w:t>
      </w:r>
      <w:r>
        <w:rPr>
          <w:rFonts w:hint="eastAsia"/>
          <w:color w:val="auto"/>
        </w:rPr>
        <w:t>、生态效益指标：</w:t>
      </w:r>
      <w:r>
        <w:rPr>
          <w:rFonts w:hint="eastAsia"/>
          <w:color w:val="auto"/>
          <w:lang w:eastAsia="zh-CN"/>
        </w:rPr>
        <w:t>指标</w:t>
      </w:r>
      <w:r>
        <w:rPr>
          <w:rFonts w:hint="eastAsia"/>
          <w:color w:val="auto"/>
          <w:lang w:val="en-US" w:eastAsia="zh-CN"/>
        </w:rPr>
        <w:t>1：</w:t>
      </w:r>
      <w:r>
        <w:rPr>
          <w:rFonts w:hint="eastAsia"/>
          <w:color w:val="auto"/>
        </w:rPr>
        <w:t>砂石料场复垦</w:t>
      </w:r>
      <w:r>
        <w:rPr>
          <w:rFonts w:hint="eastAsia"/>
          <w:color w:val="auto"/>
          <w:lang w:eastAsia="zh-CN"/>
        </w:rPr>
        <w:t>，指标值：</w:t>
      </w:r>
      <w:r>
        <w:rPr>
          <w:rFonts w:hint="eastAsia"/>
          <w:color w:val="auto"/>
        </w:rPr>
        <w:t>1处</w:t>
      </w:r>
      <w:r>
        <w:rPr>
          <w:rFonts w:hint="eastAsia"/>
          <w:color w:val="auto"/>
          <w:lang w:eastAsia="zh-CN"/>
        </w:rPr>
        <w:t>，实际完成值：</w:t>
      </w:r>
      <w:r>
        <w:rPr>
          <w:rFonts w:hint="eastAsia"/>
          <w:color w:val="auto"/>
        </w:rPr>
        <w:t>1处</w:t>
      </w:r>
      <w:r>
        <w:rPr>
          <w:rFonts w:hint="eastAsia"/>
          <w:color w:val="auto"/>
          <w:lang w:val="en-US" w:eastAsia="zh-CN"/>
        </w:rPr>
        <w:t xml:space="preserve"> ，指标完成率100%；</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color w:val="auto"/>
          <w:lang w:val="en-US" w:eastAsia="zh-CN"/>
        </w:rPr>
      </w:pPr>
      <w:r>
        <w:rPr>
          <w:rFonts w:hint="eastAsia"/>
          <w:color w:val="auto"/>
          <w:lang w:val="en-US" w:eastAsia="zh-CN"/>
        </w:rPr>
        <w:t>3</w:t>
      </w:r>
      <w:r>
        <w:rPr>
          <w:rFonts w:hint="eastAsia"/>
          <w:color w:val="auto"/>
        </w:rPr>
        <w:t>、可持续影响指标：</w:t>
      </w:r>
      <w:r>
        <w:rPr>
          <w:rFonts w:hint="eastAsia"/>
          <w:color w:val="auto"/>
          <w:lang w:eastAsia="zh-CN"/>
        </w:rPr>
        <w:t>指标</w:t>
      </w:r>
      <w:r>
        <w:rPr>
          <w:rFonts w:hint="eastAsia"/>
          <w:color w:val="auto"/>
          <w:lang w:val="en-US" w:eastAsia="zh-CN"/>
        </w:rPr>
        <w:t>1：</w:t>
      </w:r>
      <w:r>
        <w:rPr>
          <w:rFonts w:hint="eastAsia"/>
          <w:color w:val="auto"/>
        </w:rPr>
        <w:t>设施使用年限</w:t>
      </w:r>
      <w:r>
        <w:rPr>
          <w:rFonts w:hint="eastAsia"/>
          <w:color w:val="auto"/>
          <w:lang w:eastAsia="zh-CN"/>
        </w:rPr>
        <w:t>，指标值：</w:t>
      </w:r>
      <w:r>
        <w:rPr>
          <w:rFonts w:hint="eastAsia"/>
          <w:color w:val="auto"/>
          <w:lang w:val="en-US" w:eastAsia="zh-CN"/>
        </w:rPr>
        <w:t>≥</w:t>
      </w:r>
      <w:r>
        <w:rPr>
          <w:rFonts w:hint="eastAsia"/>
          <w:color w:val="auto"/>
        </w:rPr>
        <w:t>8年</w:t>
      </w:r>
      <w:r>
        <w:rPr>
          <w:rFonts w:hint="eastAsia"/>
          <w:color w:val="auto"/>
          <w:lang w:eastAsia="zh-CN"/>
        </w:rPr>
        <w:t>，实际完成值：</w:t>
      </w:r>
      <w:r>
        <w:rPr>
          <w:rFonts w:hint="eastAsia"/>
          <w:color w:val="auto"/>
          <w:lang w:val="en-US" w:eastAsia="zh-CN"/>
        </w:rPr>
        <w:t>8</w:t>
      </w:r>
      <w:r>
        <w:rPr>
          <w:rFonts w:hint="eastAsia"/>
          <w:color w:val="auto"/>
        </w:rPr>
        <w:t>年</w:t>
      </w:r>
      <w:r>
        <w:rPr>
          <w:rFonts w:hint="eastAsia"/>
          <w:color w:val="auto"/>
          <w:lang w:eastAsia="zh-CN"/>
        </w:rPr>
        <w:t>，</w:t>
      </w:r>
      <w:r>
        <w:rPr>
          <w:rFonts w:hint="eastAsia"/>
          <w:color w:val="auto"/>
          <w:lang w:val="en-US" w:eastAsia="zh-CN"/>
        </w:rPr>
        <w:t>指标完成率100%；</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lang w:val="en-US" w:eastAsia="zh-CN"/>
        </w:rPr>
        <w:t>4</w:t>
      </w:r>
      <w:r>
        <w:rPr>
          <w:rFonts w:hint="eastAsia"/>
          <w:color w:val="auto"/>
        </w:rPr>
        <w:t>、满意度指标：</w:t>
      </w:r>
      <w:r>
        <w:rPr>
          <w:rFonts w:hint="eastAsia"/>
          <w:color w:val="auto"/>
          <w:lang w:eastAsia="zh-CN"/>
        </w:rPr>
        <w:t>指标</w:t>
      </w:r>
      <w:r>
        <w:rPr>
          <w:rFonts w:hint="eastAsia"/>
          <w:color w:val="auto"/>
          <w:lang w:val="en-US" w:eastAsia="zh-CN"/>
        </w:rPr>
        <w:t>1：</w:t>
      </w:r>
      <w:r>
        <w:rPr>
          <w:rFonts w:hint="eastAsia"/>
          <w:color w:val="auto"/>
        </w:rPr>
        <w:t>游客满意度</w:t>
      </w:r>
      <w:r>
        <w:rPr>
          <w:rFonts w:hint="eastAsia"/>
          <w:color w:val="auto"/>
          <w:lang w:eastAsia="zh-CN"/>
        </w:rPr>
        <w:t>，指标值</w:t>
      </w:r>
      <w:r>
        <w:rPr>
          <w:rFonts w:hint="eastAsia"/>
          <w:color w:val="auto"/>
        </w:rPr>
        <w:tab/>
      </w:r>
      <w:r>
        <w:rPr>
          <w:rFonts w:hint="eastAsia"/>
          <w:color w:val="auto"/>
        </w:rPr>
        <w:t>≥95%</w:t>
      </w:r>
      <w:r>
        <w:rPr>
          <w:rFonts w:hint="eastAsia"/>
          <w:color w:val="auto"/>
        </w:rPr>
        <w:tab/>
      </w:r>
      <w:r>
        <w:rPr>
          <w:rFonts w:hint="eastAsia"/>
          <w:color w:val="auto"/>
          <w:lang w:eastAsia="zh-CN"/>
        </w:rPr>
        <w:t>实际完成值</w:t>
      </w:r>
      <w:r>
        <w:rPr>
          <w:rFonts w:hint="eastAsia"/>
          <w:color w:val="auto"/>
        </w:rPr>
        <w:t>9</w:t>
      </w:r>
      <w:r>
        <w:rPr>
          <w:rFonts w:hint="eastAsia"/>
          <w:color w:val="auto"/>
          <w:lang w:val="en-US" w:eastAsia="zh-CN"/>
        </w:rPr>
        <w:t>5</w:t>
      </w:r>
      <w:r>
        <w:rPr>
          <w:rFonts w:hint="eastAsia"/>
          <w:color w:val="auto"/>
        </w:rPr>
        <w:t>%</w:t>
      </w:r>
      <w:r>
        <w:rPr>
          <w:rFonts w:hint="eastAsia"/>
          <w:color w:val="auto"/>
          <w:lang w:eastAsia="zh-CN"/>
        </w:rPr>
        <w:t>，</w:t>
      </w:r>
      <w:r>
        <w:rPr>
          <w:rFonts w:hint="eastAsia"/>
          <w:color w:val="auto"/>
          <w:lang w:val="en-US" w:eastAsia="zh-CN"/>
        </w:rPr>
        <w:t>指标完成率100%；</w:t>
      </w:r>
      <w:r>
        <w:rPr>
          <w:rFonts w:hint="eastAsia"/>
          <w:color w:val="auto"/>
          <w:lang w:eastAsia="zh-CN"/>
        </w:rPr>
        <w:t>指标</w:t>
      </w:r>
      <w:r>
        <w:rPr>
          <w:rFonts w:hint="eastAsia"/>
          <w:color w:val="auto"/>
          <w:lang w:val="en-US" w:eastAsia="zh-CN"/>
        </w:rPr>
        <w:t>2：</w:t>
      </w:r>
      <w:r>
        <w:rPr>
          <w:rFonts w:hint="eastAsia"/>
          <w:color w:val="auto"/>
        </w:rPr>
        <w:t>当地居民满意度</w:t>
      </w:r>
      <w:r>
        <w:rPr>
          <w:rFonts w:hint="eastAsia"/>
          <w:color w:val="auto"/>
          <w:lang w:eastAsia="zh-CN"/>
        </w:rPr>
        <w:t>，指标值</w:t>
      </w:r>
      <w:r>
        <w:rPr>
          <w:rFonts w:hint="eastAsia"/>
          <w:color w:val="auto"/>
        </w:rPr>
        <w:tab/>
      </w:r>
      <w:r>
        <w:rPr>
          <w:rFonts w:hint="eastAsia"/>
          <w:color w:val="auto"/>
        </w:rPr>
        <w:t>≥95%</w:t>
      </w:r>
      <w:r>
        <w:rPr>
          <w:rFonts w:hint="eastAsia"/>
          <w:color w:val="auto"/>
        </w:rPr>
        <w:tab/>
      </w:r>
      <w:r>
        <w:rPr>
          <w:rFonts w:hint="eastAsia"/>
          <w:color w:val="auto"/>
          <w:lang w:eastAsia="zh-CN"/>
        </w:rPr>
        <w:t>实际完成值</w:t>
      </w:r>
      <w:r>
        <w:rPr>
          <w:rFonts w:hint="eastAsia"/>
          <w:color w:val="auto"/>
        </w:rPr>
        <w:t>9</w:t>
      </w:r>
      <w:r>
        <w:rPr>
          <w:rFonts w:hint="eastAsia"/>
          <w:color w:val="auto"/>
          <w:lang w:val="en-US" w:eastAsia="zh-CN"/>
        </w:rPr>
        <w:t>5</w:t>
      </w:r>
      <w:r>
        <w:rPr>
          <w:rFonts w:hint="eastAsia"/>
          <w:color w:val="auto"/>
        </w:rPr>
        <w:t>%</w:t>
      </w:r>
      <w:r>
        <w:rPr>
          <w:rFonts w:hint="eastAsia"/>
          <w:color w:val="auto"/>
          <w:lang w:eastAsia="zh-CN"/>
        </w:rPr>
        <w:t>，</w:t>
      </w:r>
      <w:r>
        <w:rPr>
          <w:rFonts w:hint="eastAsia"/>
          <w:color w:val="auto"/>
          <w:lang w:val="en-US" w:eastAsia="zh-CN"/>
        </w:rPr>
        <w:t>指标完成率100%；</w:t>
      </w:r>
    </w:p>
    <w:p>
      <w:pPr>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4"/>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rPr>
      </w:pPr>
      <w:bookmarkStart w:id="17" w:name="_Toc68703843"/>
      <w:bookmarkStart w:id="21" w:name="_GoBack"/>
      <w:bookmarkEnd w:id="21"/>
      <w:r>
        <w:rPr>
          <w:rFonts w:hint="eastAsia" w:ascii="仿宋_GB2312" w:eastAsia="仿宋_GB2312"/>
          <w:b w:val="0"/>
          <w:bCs w:val="0"/>
        </w:rPr>
        <w:t>（一）主要经验及做法</w:t>
      </w:r>
      <w:bookmarkEnd w:id="17"/>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rPr>
      </w:pPr>
      <w:r>
        <w:rPr>
          <w:rFonts w:ascii="宋体" w:hAnsi="宋体" w:cs="宋体"/>
          <w:sz w:val="32"/>
          <w:szCs w:val="32"/>
        </w:rPr>
        <w:t>一是项目资金管理方面：按照财政专项资金管理办法相关规定，执行国库集中支付，实行专账核算，封闭运行，严格执行资金分配、使用情况公开、公示、公告制度，保证了财政专项资金安全、规范使用。二是项目管理方面：在项目实施过程中严格执行项目公示制，在项目计划批复下达后，及时对项目建设内容、收益群众等在乡镇、村进行公示公告，做到群众对项目建设内容、资金规模等心中有数，便于</w:t>
      </w:r>
      <w:r>
        <w:rPr>
          <w:rFonts w:hint="eastAsia" w:ascii="宋体" w:hAnsi="宋体" w:cs="宋体"/>
          <w:sz w:val="32"/>
          <w:szCs w:val="32"/>
        </w:rPr>
        <w:t>群众对项目资金使用情况、建设情况进行有效监督。项目实施完毕后实行项目负责制，对竣工验收的项目做好资产登记并及时入账，同时加强后续管理，明确项目具体责任。</w:t>
      </w:r>
    </w:p>
    <w:p>
      <w:pPr>
        <w:pStyle w:val="4"/>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eastAsia="仿宋_GB2312"/>
          <w:b w:val="0"/>
          <w:bCs w:val="0"/>
        </w:rPr>
      </w:pPr>
      <w:bookmarkStart w:id="18" w:name="_Toc68703844"/>
      <w:r>
        <w:rPr>
          <w:rFonts w:hint="eastAsia" w:ascii="仿宋_GB2312" w:eastAsia="仿宋_GB2312"/>
          <w:b w:val="0"/>
          <w:bCs w:val="0"/>
        </w:rPr>
        <w:t>存在的问题及原因分析</w:t>
      </w:r>
      <w:bookmarkEnd w:id="1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cs="宋体"/>
          <w:sz w:val="32"/>
          <w:szCs w:val="32"/>
          <w:lang w:val="en-US" w:eastAsia="zh-CN"/>
        </w:rPr>
      </w:pPr>
      <w:r>
        <w:rPr>
          <w:rFonts w:hint="eastAsia" w:ascii="宋体" w:hAnsi="宋体" w:cs="宋体"/>
          <w:sz w:val="32"/>
          <w:szCs w:val="32"/>
          <w:lang w:val="en-US" w:eastAsia="zh-CN"/>
        </w:rPr>
        <w:t>项目效益指标未达成年度指标的原因是由于项目刚实施完成，对提升特克斯县旅游品牌还未形成有效的提升，项目投入使用1-2年后自然形成有效提升。</w:t>
      </w:r>
    </w:p>
    <w:p>
      <w:pPr>
        <w:numPr>
          <w:ilvl w:val="0"/>
          <w:numId w:val="0"/>
        </w:numPr>
      </w:pPr>
    </w:p>
    <w:p>
      <w:pPr>
        <w:pStyle w:val="3"/>
        <w:pageBreakBefore w:val="0"/>
        <w:widowControl w:val="0"/>
        <w:numPr>
          <w:numId w:val="0"/>
        </w:numPr>
        <w:tabs>
          <w:tab w:val="left" w:pos="602"/>
        </w:tabs>
        <w:kinsoku/>
        <w:wordWrap/>
        <w:overflowPunct/>
        <w:topLinePunct w:val="0"/>
        <w:autoSpaceDE/>
        <w:autoSpaceDN/>
        <w:bidi w:val="0"/>
        <w:adjustRightInd/>
        <w:snapToGrid/>
        <w:spacing w:before="0" w:after="0" w:line="560" w:lineRule="exact"/>
        <w:textAlignment w:val="auto"/>
        <w:rPr>
          <w:rFonts w:hint="eastAsia" w:ascii="宋体" w:hAnsi="宋体" w:eastAsia="宋体"/>
          <w:sz w:val="32"/>
          <w:szCs w:val="32"/>
        </w:rPr>
      </w:pPr>
      <w:bookmarkStart w:id="19" w:name="_Toc68703845"/>
      <w:r>
        <w:rPr>
          <w:rFonts w:hint="eastAsia" w:ascii="宋体" w:hAnsi="宋体" w:eastAsia="宋体"/>
          <w:sz w:val="32"/>
          <w:szCs w:val="32"/>
          <w:lang w:val="en-US" w:eastAsia="zh-CN"/>
        </w:rPr>
        <w:t>六、</w:t>
      </w:r>
      <w:r>
        <w:rPr>
          <w:rFonts w:hint="eastAsia" w:ascii="宋体" w:hAnsi="宋体" w:eastAsia="宋体"/>
          <w:sz w:val="32"/>
          <w:szCs w:val="32"/>
        </w:rPr>
        <w:t>有关建议</w:t>
      </w:r>
      <w:bookmarkEnd w:id="1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宋体" w:hAnsi="宋体" w:cs="宋体"/>
          <w:sz w:val="32"/>
          <w:szCs w:val="32"/>
          <w:lang w:val="en-US" w:eastAsia="zh-CN"/>
        </w:rPr>
      </w:pPr>
      <w:r>
        <w:rPr>
          <w:rFonts w:hint="eastAsia" w:ascii="宋体" w:hAnsi="宋体" w:cs="宋体"/>
          <w:sz w:val="32"/>
          <w:szCs w:val="32"/>
          <w:lang w:val="en-US" w:eastAsia="zh-CN"/>
        </w:rPr>
        <w:t>加强对绩效评价实施主体的培训力度，优化人员素质，提高掌握绩效评价的时效性，对于绩效评价的结果要充分发挥起作用，重要的是将绩效评价结果作用于实际生产和生活，更好的激发人力资源潜力，推动组织发展。</w:t>
      </w: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20" w:name="_Toc68703846"/>
      <w:r>
        <w:rPr>
          <w:rFonts w:hint="eastAsia" w:ascii="宋体" w:hAnsi="宋体" w:eastAsia="宋体"/>
          <w:sz w:val="32"/>
          <w:szCs w:val="32"/>
          <w:lang w:val="en-US" w:eastAsia="zh-CN"/>
        </w:rPr>
        <w:t>七、</w:t>
      </w:r>
      <w:r>
        <w:rPr>
          <w:rFonts w:hint="eastAsia" w:ascii="宋体" w:hAnsi="宋体" w:eastAsia="宋体"/>
          <w:sz w:val="32"/>
          <w:szCs w:val="32"/>
        </w:rPr>
        <w:t>其他需要说明的问题</w:t>
      </w:r>
      <w:bookmarkEnd w:id="20"/>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lang w:eastAsia="zh-CN"/>
        </w:rPr>
        <w:t>无</w:t>
      </w:r>
    </w:p>
    <w:p>
      <w:pPr>
        <w:pageBreakBefore w:val="0"/>
        <w:widowControl w:val="0"/>
        <w:kinsoku/>
        <w:wordWrap/>
        <w:overflowPunct/>
        <w:topLinePunct w:val="0"/>
        <w:autoSpaceDE/>
        <w:autoSpaceDN/>
        <w:bidi w:val="0"/>
        <w:adjustRightInd/>
        <w:snapToGrid/>
        <w:spacing w:line="560" w:lineRule="exact"/>
        <w:ind w:firstLine="600" w:firstLineChars="200"/>
        <w:textAlignment w:val="auto"/>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F1321"/>
    <w:multiLevelType w:val="singleLevel"/>
    <w:tmpl w:val="909F1321"/>
    <w:lvl w:ilvl="0" w:tentative="0">
      <w:start w:val="1"/>
      <w:numFmt w:val="decimal"/>
      <w:suff w:val="nothing"/>
      <w:lvlText w:val="%1、"/>
      <w:lvlJc w:val="left"/>
    </w:lvl>
  </w:abstractNum>
  <w:abstractNum w:abstractNumId="1">
    <w:nsid w:val="B966BF69"/>
    <w:multiLevelType w:val="singleLevel"/>
    <w:tmpl w:val="B966BF69"/>
    <w:lvl w:ilvl="0" w:tentative="0">
      <w:start w:val="1"/>
      <w:numFmt w:val="decimal"/>
      <w:suff w:val="nothing"/>
      <w:lvlText w:val="%1、"/>
      <w:lvlJc w:val="left"/>
    </w:lvl>
  </w:abstractNum>
  <w:abstractNum w:abstractNumId="2">
    <w:nsid w:val="0D079941"/>
    <w:multiLevelType w:val="singleLevel"/>
    <w:tmpl w:val="0D079941"/>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5B64E8"/>
    <w:rsid w:val="00614288"/>
    <w:rsid w:val="00792CFE"/>
    <w:rsid w:val="007D49C5"/>
    <w:rsid w:val="008C631D"/>
    <w:rsid w:val="00B24331"/>
    <w:rsid w:val="06CE7692"/>
    <w:rsid w:val="070E6C38"/>
    <w:rsid w:val="07371401"/>
    <w:rsid w:val="0D1A05AC"/>
    <w:rsid w:val="10FB28D4"/>
    <w:rsid w:val="11B33CEE"/>
    <w:rsid w:val="14F27F13"/>
    <w:rsid w:val="17952C37"/>
    <w:rsid w:val="1FEB2989"/>
    <w:rsid w:val="226D02C0"/>
    <w:rsid w:val="22CC66D4"/>
    <w:rsid w:val="22EE7D14"/>
    <w:rsid w:val="26787BED"/>
    <w:rsid w:val="2BC44EDD"/>
    <w:rsid w:val="2E5C6AD6"/>
    <w:rsid w:val="328153EA"/>
    <w:rsid w:val="348C0943"/>
    <w:rsid w:val="355D38B6"/>
    <w:rsid w:val="38335BF4"/>
    <w:rsid w:val="3E154C3C"/>
    <w:rsid w:val="42366E51"/>
    <w:rsid w:val="4A00185E"/>
    <w:rsid w:val="4C022DC7"/>
    <w:rsid w:val="52070DEE"/>
    <w:rsid w:val="55DC5BE4"/>
    <w:rsid w:val="5B4A5C17"/>
    <w:rsid w:val="5D3A5E10"/>
    <w:rsid w:val="5DB74617"/>
    <w:rsid w:val="715F03E3"/>
    <w:rsid w:val="7D7B1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5">
    <w:name w:val="table of authorities"/>
    <w:basedOn w:val="1"/>
    <w:next w:val="1"/>
    <w:qFormat/>
    <w:uiPriority w:val="0"/>
    <w:pPr>
      <w:ind w:left="420" w:leftChars="200"/>
    </w:p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标题 1 字符"/>
    <w:basedOn w:val="9"/>
    <w:link w:val="3"/>
    <w:qFormat/>
    <w:uiPriority w:val="9"/>
    <w:rPr>
      <w:rFonts w:ascii="Times New Roman" w:hAnsi="Times New Roman" w:eastAsia="仿宋_GB2312" w:cs="Times New Roman"/>
      <w:b/>
      <w:bCs/>
      <w:kern w:val="44"/>
      <w:sz w:val="44"/>
      <w:szCs w:val="44"/>
    </w:rPr>
  </w:style>
  <w:style w:type="character" w:customStyle="1" w:styleId="12">
    <w:name w:val="标题 2 字符"/>
    <w:basedOn w:val="9"/>
    <w:link w:val="4"/>
    <w:qFormat/>
    <w:uiPriority w:val="9"/>
    <w:rPr>
      <w:rFonts w:asciiTheme="majorHAnsi" w:hAnsiTheme="majorHAnsi" w:eastAsiaTheme="majorEastAsia" w:cstheme="majorBidi"/>
      <w:b/>
      <w:bCs/>
      <w:sz w:val="32"/>
      <w:szCs w:val="32"/>
    </w:rPr>
  </w:style>
  <w:style w:type="paragraph" w:customStyle="1" w:styleId="13">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5750</Words>
  <Characters>6017</Characters>
  <Lines>38</Lines>
  <Paragraphs>10</Paragraphs>
  <TotalTime>9</TotalTime>
  <ScaleCrop>false</ScaleCrop>
  <LinksUpToDate>false</LinksUpToDate>
  <CharactersWithSpaces>6084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2022-04-26T03:07:56Z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DA11DCECFB494C768D934AAAF3D3FDAA</vt:lpwstr>
  </property>
</Properties>
</file>